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458" w:rsidRPr="00DD59EA" w:rsidRDefault="005E2458"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rPr>
        <w:t xml:space="preserve">Resolución del Pleno del Instituto de Transparencia, Acceso a la Información Pública y Protección de Datos Personales del Estado de México y Municipios, con domicilio en Metepec, Estado de México, de fecha </w:t>
      </w:r>
      <w:r w:rsidR="007E6FDA" w:rsidRPr="00DD59EA">
        <w:rPr>
          <w:rFonts w:ascii="Palatino Linotype" w:hAnsi="Palatino Linotype"/>
        </w:rPr>
        <w:t>veinticuatro</w:t>
      </w:r>
      <w:r w:rsidR="00173A9B" w:rsidRPr="00DD59EA">
        <w:rPr>
          <w:rFonts w:ascii="Palatino Linotype" w:hAnsi="Palatino Linotype"/>
        </w:rPr>
        <w:t xml:space="preserve"> de abril </w:t>
      </w:r>
      <w:r w:rsidRPr="00DD59EA">
        <w:rPr>
          <w:rFonts w:ascii="Palatino Linotype" w:hAnsi="Palatino Linotype"/>
        </w:rPr>
        <w:t>de dos mil diecinueve</w:t>
      </w:r>
      <w:r w:rsidRPr="00DD59EA">
        <w:rPr>
          <w:rFonts w:ascii="Palatino Linotype" w:hAnsi="Palatino Linotype" w:cs="Arial"/>
        </w:rPr>
        <w:t>.</w:t>
      </w:r>
    </w:p>
    <w:p w:rsidR="005E2458" w:rsidRPr="00DD59EA" w:rsidRDefault="005E2458"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VISTOS los expedientes </w:t>
      </w:r>
      <w:r w:rsidRPr="00DD59EA">
        <w:rPr>
          <w:rFonts w:ascii="Palatino Linotype" w:hAnsi="Palatino Linotype"/>
        </w:rPr>
        <w:t>formados</w:t>
      </w:r>
      <w:r w:rsidRPr="00DD59EA">
        <w:rPr>
          <w:rFonts w:ascii="Palatino Linotype" w:hAnsi="Palatino Linotype" w:cs="Arial"/>
        </w:rPr>
        <w:t xml:space="preserve"> con motivo de los recursos de revisión acumulados</w:t>
      </w:r>
      <w:r w:rsidRPr="00DD59EA">
        <w:rPr>
          <w:rFonts w:ascii="Palatino Linotype" w:hAnsi="Palatino Linotype" w:cs="Arial"/>
          <w:b/>
        </w:rPr>
        <w:t xml:space="preserve"> 00567/INFOEM/IP/RR/201</w:t>
      </w:r>
      <w:r w:rsidR="003820C7" w:rsidRPr="00DD59EA">
        <w:rPr>
          <w:rFonts w:ascii="Palatino Linotype" w:hAnsi="Palatino Linotype" w:cs="Arial"/>
          <w:b/>
        </w:rPr>
        <w:t>9</w:t>
      </w:r>
      <w:r w:rsidRPr="00DD59EA">
        <w:rPr>
          <w:rFonts w:ascii="Palatino Linotype" w:hAnsi="Palatino Linotype" w:cs="Arial"/>
          <w:b/>
        </w:rPr>
        <w:t xml:space="preserve"> </w:t>
      </w:r>
      <w:r w:rsidRPr="00DD59EA">
        <w:rPr>
          <w:rFonts w:ascii="Palatino Linotype" w:hAnsi="Palatino Linotype" w:cs="Arial"/>
        </w:rPr>
        <w:t xml:space="preserve">y </w:t>
      </w:r>
      <w:r w:rsidRPr="00DD59EA">
        <w:rPr>
          <w:rFonts w:ascii="Palatino Linotype" w:hAnsi="Palatino Linotype" w:cs="Arial"/>
          <w:b/>
        </w:rPr>
        <w:t>00568</w:t>
      </w:r>
      <w:r w:rsidR="003820C7" w:rsidRPr="00DD59EA">
        <w:rPr>
          <w:rFonts w:ascii="Palatino Linotype" w:hAnsi="Palatino Linotype" w:cs="Arial"/>
          <w:b/>
        </w:rPr>
        <w:t>/INFOEM/IP/RR/2019</w:t>
      </w:r>
      <w:r w:rsidRPr="00DD59EA">
        <w:rPr>
          <w:rFonts w:ascii="Palatino Linotype" w:hAnsi="Palatino Linotype" w:cs="Arial"/>
        </w:rPr>
        <w:t xml:space="preserve">, promovidos por la </w:t>
      </w:r>
      <w:r w:rsidRPr="00DD59EA">
        <w:rPr>
          <w:rFonts w:ascii="Palatino Linotype" w:hAnsi="Palatino Linotype" w:cs="Arial"/>
          <w:b/>
        </w:rPr>
        <w:t xml:space="preserve">C. </w:t>
      </w:r>
      <w:r w:rsidR="005C2CB9" w:rsidRPr="005C2CB9">
        <w:rPr>
          <w:rFonts w:ascii="Palatino Linotype" w:hAnsi="Palatino Linotype"/>
          <w:b/>
          <w:lang w:val="es-ES_tradnl"/>
        </w:rPr>
        <w:t xml:space="preserve">XXXXX XXXXXX </w:t>
      </w:r>
      <w:proofErr w:type="spellStart"/>
      <w:r w:rsidR="005C2CB9" w:rsidRPr="005C2CB9">
        <w:rPr>
          <w:rFonts w:ascii="Palatino Linotype" w:hAnsi="Palatino Linotype"/>
          <w:b/>
          <w:lang w:val="es-ES_tradnl"/>
        </w:rPr>
        <w:t>XXXXXX</w:t>
      </w:r>
      <w:proofErr w:type="spellEnd"/>
      <w:r w:rsidR="005C2CB9" w:rsidRPr="005C2CB9">
        <w:rPr>
          <w:rFonts w:ascii="Palatino Linotype" w:hAnsi="Palatino Linotype"/>
          <w:b/>
          <w:lang w:val="es-ES_tradnl"/>
        </w:rPr>
        <w:t xml:space="preserve"> XXXXXXX</w:t>
      </w:r>
      <w:r w:rsidRPr="00DD59EA">
        <w:rPr>
          <w:rFonts w:ascii="Palatino Linotype" w:hAnsi="Palatino Linotype" w:cs="Arial"/>
        </w:rPr>
        <w:t xml:space="preserve">, en lo sucesivo </w:t>
      </w:r>
      <w:r w:rsidRPr="00DD59EA">
        <w:rPr>
          <w:rFonts w:ascii="Palatino Linotype" w:hAnsi="Palatino Linotype" w:cs="Arial"/>
          <w:b/>
        </w:rPr>
        <w:t>LA RECURRENTE</w:t>
      </w:r>
      <w:r w:rsidRPr="00DD59EA">
        <w:rPr>
          <w:rFonts w:ascii="Palatino Linotype" w:hAnsi="Palatino Linotype" w:cs="Arial"/>
        </w:rPr>
        <w:t xml:space="preserve">, en contra de las respuestas de la </w:t>
      </w:r>
      <w:r w:rsidRPr="00DD59EA">
        <w:rPr>
          <w:rFonts w:ascii="Palatino Linotype" w:hAnsi="Palatino Linotype" w:cs="Arial"/>
          <w:b/>
        </w:rPr>
        <w:t>Universidad Politécnica del Valle de Toluca</w:t>
      </w:r>
      <w:r w:rsidRPr="00DD59EA">
        <w:rPr>
          <w:rFonts w:ascii="Palatino Linotype" w:hAnsi="Palatino Linotype" w:cs="Arial"/>
        </w:rPr>
        <w:t xml:space="preserve">, en lo conducente </w:t>
      </w:r>
      <w:r w:rsidRPr="00DD59EA">
        <w:rPr>
          <w:rFonts w:ascii="Palatino Linotype" w:hAnsi="Palatino Linotype" w:cs="Arial"/>
          <w:b/>
        </w:rPr>
        <w:t>EL SUJETO OBLIGADO</w:t>
      </w:r>
      <w:r w:rsidRPr="00DD59EA">
        <w:rPr>
          <w:rFonts w:ascii="Palatino Linotype" w:hAnsi="Palatino Linotype" w:cs="Arial"/>
        </w:rPr>
        <w:t>, se procede a dictar la presente resolución, con base en el siguiente:</w:t>
      </w:r>
    </w:p>
    <w:p w:rsidR="005E2458" w:rsidRPr="00DD59EA" w:rsidRDefault="005E2458" w:rsidP="00DA47BB">
      <w:pPr>
        <w:spacing w:before="100" w:beforeAutospacing="1" w:after="100" w:afterAutospacing="1" w:line="360" w:lineRule="auto"/>
        <w:jc w:val="center"/>
        <w:rPr>
          <w:rFonts w:ascii="Palatino Linotype" w:hAnsi="Palatino Linotype" w:cs="Arial"/>
          <w:b/>
          <w:spacing w:val="50"/>
          <w:sz w:val="28"/>
        </w:rPr>
      </w:pPr>
      <w:r w:rsidRPr="00DD59EA">
        <w:rPr>
          <w:rFonts w:ascii="Palatino Linotype" w:hAnsi="Palatino Linotype" w:cs="Arial"/>
          <w:b/>
          <w:spacing w:val="50"/>
          <w:sz w:val="28"/>
        </w:rPr>
        <w:t>RESULTANDO</w:t>
      </w:r>
    </w:p>
    <w:p w:rsidR="005E2458" w:rsidRPr="00DD59EA" w:rsidRDefault="005E2458" w:rsidP="00DA47BB">
      <w:pPr>
        <w:spacing w:before="100" w:beforeAutospacing="1" w:after="100" w:afterAutospacing="1" w:line="360" w:lineRule="auto"/>
        <w:jc w:val="both"/>
        <w:rPr>
          <w:rFonts w:ascii="Palatino Linotype" w:hAnsi="Palatino Linotype"/>
          <w:bCs/>
        </w:rPr>
      </w:pPr>
      <w:r w:rsidRPr="00DD59EA">
        <w:rPr>
          <w:rFonts w:ascii="Palatino Linotype" w:hAnsi="Palatino Linotype"/>
          <w:b/>
          <w:sz w:val="28"/>
          <w:szCs w:val="28"/>
        </w:rPr>
        <w:t>I.</w:t>
      </w:r>
      <w:r w:rsidRPr="00DD59EA">
        <w:rPr>
          <w:rFonts w:ascii="Palatino Linotype" w:hAnsi="Palatino Linotype"/>
        </w:rPr>
        <w:t xml:space="preserve"> En fecha siete de enero de dos mil diecinueve, </w:t>
      </w:r>
      <w:r w:rsidR="00D075BC" w:rsidRPr="00DD59EA">
        <w:rPr>
          <w:rFonts w:ascii="Palatino Linotype" w:hAnsi="Palatino Linotype" w:cs="Arial"/>
          <w:b/>
        </w:rPr>
        <w:t>LA</w:t>
      </w:r>
      <w:r w:rsidRPr="00DD59EA">
        <w:rPr>
          <w:rFonts w:ascii="Palatino Linotype" w:hAnsi="Palatino Linotype" w:cs="Arial"/>
          <w:b/>
        </w:rPr>
        <w:t xml:space="preserve"> RECURRENTE</w:t>
      </w:r>
      <w:r w:rsidRPr="00DD59EA">
        <w:rPr>
          <w:rFonts w:ascii="Palatino Linotype" w:hAnsi="Palatino Linotype"/>
        </w:rPr>
        <w:t xml:space="preserve">, presentó a través del Sistema de Acceso a la Información Mexiquense, en lo subsecuente </w:t>
      </w:r>
      <w:r w:rsidR="00D075BC" w:rsidRPr="00DD59EA">
        <w:rPr>
          <w:rFonts w:ascii="Palatino Linotype" w:hAnsi="Palatino Linotype"/>
          <w:b/>
        </w:rPr>
        <w:t>EL</w:t>
      </w:r>
      <w:r w:rsidRPr="00DD59EA">
        <w:rPr>
          <w:rFonts w:ascii="Palatino Linotype" w:hAnsi="Palatino Linotype"/>
          <w:b/>
        </w:rPr>
        <w:t xml:space="preserve"> SAIMEX</w:t>
      </w:r>
      <w:r w:rsidRPr="00DD59EA">
        <w:rPr>
          <w:rFonts w:ascii="Palatino Linotype" w:hAnsi="Palatino Linotype"/>
        </w:rPr>
        <w:t xml:space="preserve"> ante </w:t>
      </w:r>
      <w:r w:rsidRPr="00DD59EA">
        <w:rPr>
          <w:rFonts w:ascii="Palatino Linotype" w:hAnsi="Palatino Linotype"/>
          <w:b/>
        </w:rPr>
        <w:t>EL SUJETO OBLIGADO</w:t>
      </w:r>
      <w:r w:rsidRPr="00DD59EA">
        <w:rPr>
          <w:rFonts w:ascii="Palatino Linotype" w:hAnsi="Palatino Linotype"/>
        </w:rPr>
        <w:t xml:space="preserve">, las solicitudes de acceso a información pública, a las que se les asignaron los números </w:t>
      </w:r>
      <w:r w:rsidRPr="00DD59EA">
        <w:rPr>
          <w:rFonts w:ascii="Palatino Linotype" w:hAnsi="Palatino Linotype"/>
          <w:b/>
          <w:bCs/>
        </w:rPr>
        <w:t>00073/UPVT/IP/2019</w:t>
      </w:r>
      <w:r w:rsidRPr="00DD59EA">
        <w:rPr>
          <w:rFonts w:ascii="Palatino Linotype" w:hAnsi="Palatino Linotype"/>
          <w:bCs/>
        </w:rPr>
        <w:t xml:space="preserve"> y </w:t>
      </w:r>
      <w:r w:rsidRPr="00DD59EA">
        <w:rPr>
          <w:rFonts w:ascii="Palatino Linotype" w:hAnsi="Palatino Linotype"/>
          <w:b/>
          <w:bCs/>
        </w:rPr>
        <w:t xml:space="preserve">00072/UPVT/IP/2019 </w:t>
      </w:r>
      <w:r w:rsidRPr="00DD59EA">
        <w:rPr>
          <w:rFonts w:ascii="Palatino Linotype" w:hAnsi="Palatino Linotype"/>
          <w:bCs/>
        </w:rPr>
        <w:t>medi</w:t>
      </w:r>
      <w:r w:rsidR="007E6FDA" w:rsidRPr="00DD59EA">
        <w:rPr>
          <w:rFonts w:ascii="Palatino Linotype" w:hAnsi="Palatino Linotype"/>
          <w:bCs/>
        </w:rPr>
        <w:t>ante las cuales solicitó</w:t>
      </w:r>
      <w:r w:rsidRPr="00DD59EA">
        <w:rPr>
          <w:rFonts w:ascii="Palatino Linotype" w:hAnsi="Palatino Linotype"/>
          <w:bCs/>
        </w:rPr>
        <w:t>:</w:t>
      </w:r>
    </w:p>
    <w:p w:rsidR="005E2458" w:rsidRPr="00DD59EA" w:rsidRDefault="005E2458" w:rsidP="00DA47BB">
      <w:pPr>
        <w:spacing w:before="100" w:beforeAutospacing="1" w:after="100" w:afterAutospacing="1"/>
        <w:ind w:left="851" w:right="899"/>
        <w:jc w:val="both"/>
        <w:rPr>
          <w:rFonts w:ascii="Palatino Linotype" w:hAnsi="Palatino Linotype" w:cs="Arial"/>
          <w:i/>
          <w:sz w:val="22"/>
        </w:rPr>
      </w:pPr>
      <w:r w:rsidRPr="00DD59EA">
        <w:rPr>
          <w:rFonts w:ascii="Palatino Linotype" w:hAnsi="Palatino Linotype"/>
          <w:b/>
          <w:bCs/>
        </w:rPr>
        <w:t>00073/UPVT/IP/2019</w:t>
      </w:r>
      <w:r w:rsidRPr="00DD59EA">
        <w:rPr>
          <w:rFonts w:ascii="Palatino Linotype" w:hAnsi="Palatino Linotype" w:cs="Arial"/>
          <w:i/>
          <w:sz w:val="22"/>
        </w:rPr>
        <w:t xml:space="preserve"> </w:t>
      </w:r>
      <w:r w:rsidR="00173A9B" w:rsidRPr="00DD59EA">
        <w:rPr>
          <w:rFonts w:ascii="Palatino Linotype" w:hAnsi="Palatino Linotype" w:cs="Arial"/>
          <w:i/>
          <w:sz w:val="22"/>
        </w:rPr>
        <w:t xml:space="preserve"> </w:t>
      </w:r>
      <w:r w:rsidRPr="00DD59EA">
        <w:rPr>
          <w:rFonts w:ascii="Palatino Linotype" w:hAnsi="Palatino Linotype" w:cs="Arial"/>
          <w:i/>
          <w:sz w:val="22"/>
        </w:rPr>
        <w:t xml:space="preserve">“Cantidades adeudadas por concepto de sueldos y salarios al día de hoy al Maestro en Economía y Negocios Internacionales Diego </w:t>
      </w:r>
      <w:proofErr w:type="spellStart"/>
      <w:r w:rsidRPr="00DD59EA">
        <w:rPr>
          <w:rFonts w:ascii="Palatino Linotype" w:hAnsi="Palatino Linotype" w:cs="Arial"/>
          <w:i/>
          <w:sz w:val="22"/>
        </w:rPr>
        <w:t>Gorostieta</w:t>
      </w:r>
      <w:proofErr w:type="spellEnd"/>
      <w:r w:rsidRPr="00DD59EA">
        <w:rPr>
          <w:rFonts w:ascii="Palatino Linotype" w:hAnsi="Palatino Linotype" w:cs="Arial"/>
          <w:i/>
          <w:sz w:val="22"/>
        </w:rPr>
        <w:t xml:space="preserve"> </w:t>
      </w:r>
      <w:proofErr w:type="spellStart"/>
      <w:r w:rsidRPr="00DD59EA">
        <w:rPr>
          <w:rFonts w:ascii="Palatino Linotype" w:hAnsi="Palatino Linotype" w:cs="Arial"/>
          <w:i/>
          <w:sz w:val="22"/>
        </w:rPr>
        <w:t>Solorzano</w:t>
      </w:r>
      <w:proofErr w:type="spellEnd"/>
      <w:r w:rsidRPr="00DD59EA">
        <w:rPr>
          <w:rFonts w:ascii="Palatino Linotype" w:hAnsi="Palatino Linotype" w:cs="Arial"/>
          <w:i/>
          <w:sz w:val="22"/>
        </w:rPr>
        <w:t xml:space="preserve"> y mencionar porque existe tal adeudo.” (Sic)</w:t>
      </w:r>
    </w:p>
    <w:p w:rsidR="005E2458" w:rsidRPr="00DD59EA" w:rsidRDefault="005E2458" w:rsidP="00DA47BB">
      <w:pPr>
        <w:spacing w:before="100" w:beforeAutospacing="1" w:after="100" w:afterAutospacing="1"/>
        <w:ind w:left="851" w:right="899"/>
        <w:jc w:val="both"/>
        <w:rPr>
          <w:rFonts w:ascii="Palatino Linotype" w:hAnsi="Palatino Linotype" w:cs="Arial"/>
          <w:i/>
          <w:sz w:val="22"/>
        </w:rPr>
      </w:pPr>
      <w:r w:rsidRPr="00DD59EA">
        <w:rPr>
          <w:rFonts w:ascii="Palatino Linotype" w:hAnsi="Palatino Linotype"/>
          <w:b/>
          <w:bCs/>
        </w:rPr>
        <w:t xml:space="preserve">00072/UPVT/IP/2019 </w:t>
      </w:r>
      <w:r w:rsidRPr="00DD59EA">
        <w:rPr>
          <w:rFonts w:ascii="Palatino Linotype" w:hAnsi="Palatino Linotype" w:cs="Arial"/>
          <w:i/>
          <w:sz w:val="22"/>
        </w:rPr>
        <w:t xml:space="preserve">“Aumento de sueldo que se le género al Maestro en Economía y Negocios Internacionales Diego </w:t>
      </w:r>
      <w:proofErr w:type="spellStart"/>
      <w:r w:rsidRPr="00DD59EA">
        <w:rPr>
          <w:rFonts w:ascii="Palatino Linotype" w:hAnsi="Palatino Linotype" w:cs="Arial"/>
          <w:i/>
          <w:sz w:val="22"/>
        </w:rPr>
        <w:t>Gorostieta</w:t>
      </w:r>
      <w:proofErr w:type="spellEnd"/>
      <w:r w:rsidRPr="00DD59EA">
        <w:rPr>
          <w:rFonts w:ascii="Palatino Linotype" w:hAnsi="Palatino Linotype" w:cs="Arial"/>
          <w:i/>
          <w:sz w:val="22"/>
        </w:rPr>
        <w:t xml:space="preserve"> </w:t>
      </w:r>
      <w:proofErr w:type="spellStart"/>
      <w:r w:rsidRPr="00DD59EA">
        <w:rPr>
          <w:rFonts w:ascii="Palatino Linotype" w:hAnsi="Palatino Linotype" w:cs="Arial"/>
          <w:i/>
          <w:sz w:val="22"/>
        </w:rPr>
        <w:t>Solorzano</w:t>
      </w:r>
      <w:proofErr w:type="spellEnd"/>
      <w:r w:rsidRPr="00DD59EA">
        <w:rPr>
          <w:rFonts w:ascii="Palatino Linotype" w:hAnsi="Palatino Linotype" w:cs="Arial"/>
          <w:i/>
          <w:sz w:val="22"/>
        </w:rPr>
        <w:t xml:space="preserve"> durante el año </w:t>
      </w:r>
      <w:r w:rsidRPr="00DD59EA">
        <w:rPr>
          <w:rFonts w:ascii="Palatino Linotype" w:hAnsi="Palatino Linotype" w:cs="Arial"/>
          <w:i/>
          <w:sz w:val="22"/>
        </w:rPr>
        <w:lastRenderedPageBreak/>
        <w:t xml:space="preserve">2018, señalando a partir de </w:t>
      </w:r>
      <w:proofErr w:type="spellStart"/>
      <w:r w:rsidRPr="00DD59EA">
        <w:rPr>
          <w:rFonts w:ascii="Palatino Linotype" w:hAnsi="Palatino Linotype" w:cs="Arial"/>
          <w:i/>
          <w:sz w:val="22"/>
        </w:rPr>
        <w:t>que</w:t>
      </w:r>
      <w:proofErr w:type="spellEnd"/>
      <w:r w:rsidRPr="00DD59EA">
        <w:rPr>
          <w:rFonts w:ascii="Palatino Linotype" w:hAnsi="Palatino Linotype" w:cs="Arial"/>
          <w:i/>
          <w:sz w:val="22"/>
        </w:rPr>
        <w:t xml:space="preserve"> fecha fue objeto dicho incremento y las evidencias del pago correspondiente.”(Sic)</w:t>
      </w:r>
    </w:p>
    <w:p w:rsidR="005E2458" w:rsidRPr="00DD59EA" w:rsidRDefault="005E2458" w:rsidP="00DA47BB">
      <w:pPr>
        <w:spacing w:before="100" w:beforeAutospacing="1" w:after="100" w:afterAutospacing="1" w:line="360" w:lineRule="auto"/>
        <w:ind w:right="616"/>
        <w:jc w:val="both"/>
        <w:rPr>
          <w:rFonts w:ascii="Palatino Linotype" w:hAnsi="Palatino Linotype"/>
        </w:rPr>
      </w:pPr>
      <w:r w:rsidRPr="00DD59EA">
        <w:rPr>
          <w:rFonts w:ascii="Palatino Linotype" w:hAnsi="Palatino Linotype"/>
          <w:b/>
        </w:rPr>
        <w:t xml:space="preserve">Modalidad de </w:t>
      </w:r>
      <w:r w:rsidR="00173A9B" w:rsidRPr="00DD59EA">
        <w:rPr>
          <w:rFonts w:ascii="Palatino Linotype" w:hAnsi="Palatino Linotype"/>
          <w:b/>
        </w:rPr>
        <w:t xml:space="preserve">entrega </w:t>
      </w:r>
      <w:r w:rsidRPr="00DD59EA">
        <w:rPr>
          <w:rFonts w:ascii="Palatino Linotype" w:hAnsi="Palatino Linotype"/>
          <w:b/>
        </w:rPr>
        <w:t>en ambos recursos:</w:t>
      </w:r>
      <w:r w:rsidR="00173A9B" w:rsidRPr="00DD59EA">
        <w:rPr>
          <w:rFonts w:ascii="Palatino Linotype" w:hAnsi="Palatino Linotype"/>
        </w:rPr>
        <w:t xml:space="preserve"> vía </w:t>
      </w:r>
      <w:r w:rsidRPr="00DD59EA">
        <w:rPr>
          <w:rFonts w:ascii="Palatino Linotype" w:hAnsi="Palatino Linotype"/>
          <w:b/>
        </w:rPr>
        <w:t>SAIMEX</w:t>
      </w:r>
      <w:r w:rsidRPr="00DD59EA">
        <w:rPr>
          <w:rFonts w:ascii="Palatino Linotype" w:hAnsi="Palatino Linotype"/>
        </w:rPr>
        <w:t>.</w:t>
      </w:r>
    </w:p>
    <w:p w:rsidR="005E2458" w:rsidRPr="00DD59EA" w:rsidRDefault="005E2458" w:rsidP="00DA47BB">
      <w:pPr>
        <w:pStyle w:val="Prrafodelista"/>
        <w:spacing w:line="360" w:lineRule="auto"/>
        <w:ind w:left="0"/>
        <w:contextualSpacing w:val="0"/>
        <w:jc w:val="both"/>
        <w:rPr>
          <w:rFonts w:ascii="Palatino Linotype" w:hAnsi="Palatino Linotype"/>
        </w:rPr>
      </w:pPr>
      <w:r w:rsidRPr="00DD59EA">
        <w:rPr>
          <w:rFonts w:ascii="Palatino Linotype" w:hAnsi="Palatino Linotype"/>
          <w:b/>
          <w:sz w:val="28"/>
          <w:szCs w:val="28"/>
        </w:rPr>
        <w:t>II.</w:t>
      </w:r>
      <w:r w:rsidRPr="00DD59EA">
        <w:rPr>
          <w:rFonts w:ascii="Palatino Linotype" w:hAnsi="Palatino Linotype"/>
          <w:b/>
        </w:rPr>
        <w:t xml:space="preserve"> </w:t>
      </w:r>
      <w:r w:rsidRPr="00DD59EA">
        <w:rPr>
          <w:rFonts w:ascii="Palatino Linotype" w:hAnsi="Palatino Linotype"/>
        </w:rPr>
        <w:t>Con base en el detalle de seguimiento del</w:t>
      </w:r>
      <w:r w:rsidRPr="00DD59EA">
        <w:rPr>
          <w:rFonts w:ascii="Palatino Linotype" w:hAnsi="Palatino Linotype"/>
          <w:b/>
        </w:rPr>
        <w:t xml:space="preserve"> SAIMEX</w:t>
      </w:r>
      <w:r w:rsidRPr="00DD59EA">
        <w:rPr>
          <w:rFonts w:ascii="Palatino Linotype" w:hAnsi="Palatino Linotype"/>
        </w:rPr>
        <w:t>, se advierte que en fecha ocho de enero de dos mil diecinueve, la Unidad de Transparencia del</w:t>
      </w:r>
      <w:r w:rsidRPr="00DD59EA">
        <w:rPr>
          <w:rFonts w:ascii="Palatino Linotype" w:hAnsi="Palatino Linotype"/>
          <w:b/>
        </w:rPr>
        <w:t xml:space="preserve"> SUJETO OBLIGADO</w:t>
      </w:r>
      <w:r w:rsidRPr="00DD59EA">
        <w:rPr>
          <w:rFonts w:ascii="Palatino Linotype" w:hAnsi="Palatino Linotype"/>
        </w:rPr>
        <w:t xml:space="preserve"> turnó mediante requerimientos, el contenido de las solicitudes de información a la Servidora Pública Habilitada que consideró competente, a efecto de que realizara la búsqueda y localización de la información; por lo que, a fin de evitar repeticiones innecesarias, se inserta únicamente el requerimiento de la solitud de información </w:t>
      </w:r>
      <w:r w:rsidR="00F32C49" w:rsidRPr="00DD59EA">
        <w:rPr>
          <w:rFonts w:ascii="Palatino Linotype" w:hAnsi="Palatino Linotype"/>
          <w:b/>
          <w:bCs/>
        </w:rPr>
        <w:t>00073/UPVT/IP/2019</w:t>
      </w:r>
      <w:r w:rsidRPr="00DD59EA">
        <w:rPr>
          <w:rFonts w:ascii="Palatino Linotype" w:hAnsi="Palatino Linotype"/>
          <w:b/>
          <w:bCs/>
          <w:spacing w:val="-20"/>
        </w:rPr>
        <w:t xml:space="preserve">, </w:t>
      </w:r>
      <w:r w:rsidRPr="00DD59EA">
        <w:rPr>
          <w:rFonts w:ascii="Palatino Linotype" w:hAnsi="Palatino Linotype"/>
        </w:rPr>
        <w:t>tal como se aprecia a continuación:</w:t>
      </w:r>
    </w:p>
    <w:p w:rsidR="00F32C49" w:rsidRPr="00DD59EA" w:rsidRDefault="00F32C49" w:rsidP="00DA47BB">
      <w:pPr>
        <w:pStyle w:val="Prrafodelista"/>
        <w:spacing w:line="360" w:lineRule="auto"/>
        <w:ind w:left="0"/>
        <w:contextualSpacing w:val="0"/>
        <w:jc w:val="center"/>
        <w:rPr>
          <w:rFonts w:ascii="Palatino Linotype" w:hAnsi="Palatino Linotype"/>
        </w:rPr>
      </w:pPr>
      <w:r w:rsidRPr="00DD59EA">
        <w:rPr>
          <w:noProof/>
          <w:lang w:eastAsia="es-MX"/>
        </w:rPr>
        <w:drawing>
          <wp:inline distT="0" distB="0" distL="0" distR="0" wp14:anchorId="2FB7B421" wp14:editId="7C85F5B3">
            <wp:extent cx="5031042" cy="71343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425" t="39022" r="8656" b="48497"/>
                    <a:stretch/>
                  </pic:blipFill>
                  <pic:spPr bwMode="auto">
                    <a:xfrm>
                      <a:off x="0" y="0"/>
                      <a:ext cx="5086890" cy="721353"/>
                    </a:xfrm>
                    <a:prstGeom prst="rect">
                      <a:avLst/>
                    </a:prstGeom>
                    <a:ln>
                      <a:noFill/>
                    </a:ln>
                    <a:extLst>
                      <a:ext uri="{53640926-AAD7-44D8-BBD7-CCE9431645EC}">
                        <a14:shadowObscured xmlns:a14="http://schemas.microsoft.com/office/drawing/2010/main"/>
                      </a:ext>
                    </a:extLst>
                  </pic:spPr>
                </pic:pic>
              </a:graphicData>
            </a:graphic>
          </wp:inline>
        </w:drawing>
      </w:r>
    </w:p>
    <w:p w:rsidR="006C03CE" w:rsidRPr="00DD59EA" w:rsidRDefault="0032452B" w:rsidP="00DA47BB">
      <w:pPr>
        <w:spacing w:before="100" w:beforeAutospacing="1" w:after="100" w:afterAutospacing="1" w:line="360" w:lineRule="auto"/>
        <w:jc w:val="both"/>
        <w:rPr>
          <w:rFonts w:ascii="Palatino Linotype" w:hAnsi="Palatino Linotype"/>
        </w:rPr>
      </w:pPr>
      <w:r w:rsidRPr="00DD59EA">
        <w:rPr>
          <w:rFonts w:ascii="Palatino Linotype" w:hAnsi="Palatino Linotype"/>
          <w:b/>
          <w:noProof/>
          <w:sz w:val="28"/>
          <w:szCs w:val="28"/>
          <w:lang w:eastAsia="es-MX"/>
        </w:rPr>
        <mc:AlternateContent>
          <mc:Choice Requires="wps">
            <w:drawing>
              <wp:anchor distT="0" distB="0" distL="114300" distR="114300" simplePos="0" relativeHeight="251669504" behindDoc="0" locked="0" layoutInCell="1" allowOverlap="1">
                <wp:simplePos x="0" y="0"/>
                <wp:positionH relativeFrom="column">
                  <wp:posOffset>15135</wp:posOffset>
                </wp:positionH>
                <wp:positionV relativeFrom="paragraph">
                  <wp:posOffset>2576530</wp:posOffset>
                </wp:positionV>
                <wp:extent cx="5762730" cy="1426866"/>
                <wp:effectExtent l="19050" t="19050" r="28575" b="20955"/>
                <wp:wrapNone/>
                <wp:docPr id="28" name="Conector recto 28"/>
                <wp:cNvGraphicFramePr/>
                <a:graphic xmlns:a="http://schemas.openxmlformats.org/drawingml/2006/main">
                  <a:graphicData uri="http://schemas.microsoft.com/office/word/2010/wordprocessingShape">
                    <wps:wsp>
                      <wps:cNvCnPr/>
                      <wps:spPr>
                        <a:xfrm>
                          <a:off x="0" y="0"/>
                          <a:ext cx="5762730" cy="1426866"/>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4AC2FC" id="Conector recto 28"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2pt,202.9pt" to="454.95pt,3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" strokecolor="#5b9bd5 [3204]" strokeweight="2.25pt">
                <v:stroke joinstyle="miter"/>
              </v:line>
            </w:pict>
          </mc:Fallback>
        </mc:AlternateContent>
      </w:r>
      <w:r w:rsidR="006C03CE" w:rsidRPr="00DD59EA">
        <w:rPr>
          <w:rFonts w:ascii="Palatino Linotype" w:hAnsi="Palatino Linotype"/>
          <w:b/>
          <w:sz w:val="28"/>
          <w:szCs w:val="28"/>
        </w:rPr>
        <w:t>III.</w:t>
      </w:r>
      <w:r w:rsidR="006C03CE" w:rsidRPr="00DD59EA">
        <w:rPr>
          <w:rFonts w:ascii="Palatino Linotype" w:hAnsi="Palatino Linotype"/>
        </w:rPr>
        <w:t xml:space="preserve"> De las constancias que obran en los expedientes electrónicos</w:t>
      </w:r>
      <w:r w:rsidR="006C03CE" w:rsidRPr="00DD59EA">
        <w:rPr>
          <w:rFonts w:ascii="Palatino Linotype" w:hAnsi="Palatino Linotype"/>
          <w:b/>
        </w:rPr>
        <w:t>,</w:t>
      </w:r>
      <w:r w:rsidR="006C03CE" w:rsidRPr="00DD59EA">
        <w:rPr>
          <w:rFonts w:ascii="Palatino Linotype" w:hAnsi="Palatino Linotype"/>
        </w:rPr>
        <w:t xml:space="preserve"> se advierte que </w:t>
      </w:r>
      <w:r w:rsidR="006C03CE" w:rsidRPr="00DD59EA">
        <w:rPr>
          <w:rFonts w:ascii="Palatino Linotype" w:hAnsi="Palatino Linotype"/>
          <w:b/>
        </w:rPr>
        <w:t>EL SUJETO OBLIGADO</w:t>
      </w:r>
      <w:r w:rsidR="00EC6404" w:rsidRPr="00DD59EA">
        <w:rPr>
          <w:rFonts w:ascii="Palatino Linotype" w:hAnsi="Palatino Linotype"/>
          <w:b/>
        </w:rPr>
        <w:t>,</w:t>
      </w:r>
      <w:r w:rsidR="006C03CE" w:rsidRPr="00DD59EA">
        <w:rPr>
          <w:rFonts w:ascii="Palatino Linotype" w:hAnsi="Palatino Linotype"/>
          <w:b/>
        </w:rPr>
        <w:t xml:space="preserve"> </w:t>
      </w:r>
      <w:r w:rsidR="006C03CE" w:rsidRPr="00DD59EA">
        <w:rPr>
          <w:rFonts w:ascii="Palatino Linotype" w:hAnsi="Palatino Linotype"/>
        </w:rPr>
        <w:t xml:space="preserve">en fecha veintiocho de enero de dos mil diecinueve, notificó a </w:t>
      </w:r>
      <w:r w:rsidR="006C03CE" w:rsidRPr="00DD59EA">
        <w:rPr>
          <w:rFonts w:ascii="Palatino Linotype" w:hAnsi="Palatino Linotype"/>
          <w:b/>
        </w:rPr>
        <w:t xml:space="preserve">LA RECURRENTE </w:t>
      </w:r>
      <w:r w:rsidR="006C03CE" w:rsidRPr="00DD59EA">
        <w:rPr>
          <w:rFonts w:ascii="Palatino Linotype" w:hAnsi="Palatino Linotype"/>
        </w:rPr>
        <w:t>una prórroga de siete días hábiles para dar respuesta a las solicitudes de información</w:t>
      </w:r>
      <w:r w:rsidR="00EC6404" w:rsidRPr="00DD59EA">
        <w:rPr>
          <w:rFonts w:ascii="Palatino Linotype" w:hAnsi="Palatino Linotype"/>
        </w:rPr>
        <w:t>,</w:t>
      </w:r>
      <w:r w:rsidR="006C03CE" w:rsidRPr="00DD59EA">
        <w:rPr>
          <w:rFonts w:ascii="Palatino Linotype" w:hAnsi="Palatino Linotype"/>
        </w:rPr>
        <w:t xml:space="preserve"> señaladas en</w:t>
      </w:r>
      <w:r w:rsidR="00EC6404" w:rsidRPr="00DD59EA">
        <w:rPr>
          <w:rFonts w:ascii="Palatino Linotype" w:hAnsi="Palatino Linotype"/>
        </w:rPr>
        <w:t xml:space="preserve"> el Resultando I de la presente;</w:t>
      </w:r>
      <w:r w:rsidR="006C03CE" w:rsidRPr="00DD59EA">
        <w:rPr>
          <w:rFonts w:ascii="Palatino Linotype" w:hAnsi="Palatino Linotype"/>
        </w:rPr>
        <w:t xml:space="preserve"> misma que se autorizó por el Comité de Transparencia en la Décima Sesión Extraordinaria y vía SAIMEX</w:t>
      </w:r>
      <w:r w:rsidR="00EC6404" w:rsidRPr="00DD59EA">
        <w:rPr>
          <w:rFonts w:ascii="Palatino Linotype" w:hAnsi="Palatino Linotype"/>
        </w:rPr>
        <w:t>; por lo que, a fin de evitar repeticiones innecesarias únicament</w:t>
      </w:r>
      <w:r w:rsidR="00DA099C" w:rsidRPr="00DD59EA">
        <w:rPr>
          <w:rFonts w:ascii="Palatino Linotype" w:hAnsi="Palatino Linotype"/>
        </w:rPr>
        <w:t>e se inserta lo manifestado en</w:t>
      </w:r>
      <w:r w:rsidRPr="00DD59EA">
        <w:rPr>
          <w:rFonts w:ascii="Palatino Linotype" w:hAnsi="Palatino Linotype"/>
        </w:rPr>
        <w:t xml:space="preserve"> la solicitud de información </w:t>
      </w:r>
      <w:r w:rsidRPr="00DD59EA">
        <w:rPr>
          <w:rFonts w:ascii="Palatino Linotype" w:hAnsi="Palatino Linotype"/>
          <w:b/>
        </w:rPr>
        <w:t>00073/UPVT/IP/2019,</w:t>
      </w:r>
      <w:r w:rsidR="006C03CE" w:rsidRPr="00DD59EA">
        <w:rPr>
          <w:rFonts w:ascii="Palatino Linotype" w:hAnsi="Palatino Linotype"/>
        </w:rPr>
        <w:t xml:space="preserve"> </w:t>
      </w:r>
      <w:r w:rsidR="006C03CE" w:rsidRPr="00DD59EA">
        <w:rPr>
          <w:rFonts w:ascii="Palatino Linotype" w:hAnsi="Palatino Linotype"/>
          <w:b/>
        </w:rPr>
        <w:t xml:space="preserve">EL SUJETO OBLIGADO </w:t>
      </w:r>
      <w:r w:rsidR="006C03CE" w:rsidRPr="00DD59EA">
        <w:rPr>
          <w:rFonts w:ascii="Palatino Linotype" w:hAnsi="Palatino Linotype"/>
        </w:rPr>
        <w:t>pr</w:t>
      </w:r>
      <w:r w:rsidR="00F14548" w:rsidRPr="00DD59EA">
        <w:rPr>
          <w:rFonts w:ascii="Palatino Linotype" w:hAnsi="Palatino Linotype"/>
        </w:rPr>
        <w:t>ecisó</w:t>
      </w:r>
      <w:r w:rsidR="006C03CE" w:rsidRPr="00DD59EA">
        <w:rPr>
          <w:rFonts w:ascii="Palatino Linotype" w:hAnsi="Palatino Linotype"/>
        </w:rPr>
        <w:t xml:space="preserve"> lo siguiente:</w:t>
      </w:r>
    </w:p>
    <w:p w:rsidR="006C03CE" w:rsidRPr="00DD59EA" w:rsidRDefault="006C03CE" w:rsidP="00DA47BB">
      <w:pPr>
        <w:spacing w:before="100" w:beforeAutospacing="1" w:after="100" w:afterAutospacing="1" w:line="360" w:lineRule="auto"/>
        <w:jc w:val="center"/>
        <w:rPr>
          <w:rFonts w:ascii="Palatino Linotype" w:hAnsi="Palatino Linotype"/>
        </w:rPr>
      </w:pPr>
      <w:r w:rsidRPr="00DD59EA">
        <w:rPr>
          <w:noProof/>
          <w:lang w:eastAsia="es-MX"/>
        </w:rPr>
        <w:lastRenderedPageBreak/>
        <w:drawing>
          <wp:inline distT="0" distB="0" distL="0" distR="0" wp14:anchorId="0A52F720" wp14:editId="47FE4AAA">
            <wp:extent cx="5310324" cy="2235759"/>
            <wp:effectExtent l="0" t="0" r="508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841" t="27301" r="19933" b="41712"/>
                    <a:stretch/>
                  </pic:blipFill>
                  <pic:spPr bwMode="auto">
                    <a:xfrm>
                      <a:off x="0" y="0"/>
                      <a:ext cx="5462373" cy="2299775"/>
                    </a:xfrm>
                    <a:prstGeom prst="rect">
                      <a:avLst/>
                    </a:prstGeom>
                    <a:ln>
                      <a:noFill/>
                    </a:ln>
                    <a:extLst>
                      <a:ext uri="{53640926-AAD7-44D8-BBD7-CCE9431645EC}">
                        <a14:shadowObscured xmlns:a14="http://schemas.microsoft.com/office/drawing/2010/main"/>
                      </a:ext>
                    </a:extLst>
                  </pic:spPr>
                </pic:pic>
              </a:graphicData>
            </a:graphic>
          </wp:inline>
        </w:drawing>
      </w:r>
    </w:p>
    <w:p w:rsidR="006C03CE" w:rsidRPr="00DD59EA" w:rsidRDefault="00F14548" w:rsidP="00DA47BB">
      <w:pPr>
        <w:spacing w:line="360" w:lineRule="auto"/>
        <w:jc w:val="both"/>
        <w:rPr>
          <w:rFonts w:ascii="Palatino Linotype" w:hAnsi="Palatino Linotype"/>
        </w:rPr>
      </w:pPr>
      <w:r w:rsidRPr="00DD59EA">
        <w:rPr>
          <w:rFonts w:ascii="Palatino Linotype" w:hAnsi="Palatino Linotype"/>
        </w:rPr>
        <w:t xml:space="preserve">No pasa desapercibido para esta Ponencia Resolutora que </w:t>
      </w:r>
      <w:r w:rsidR="006C03CE" w:rsidRPr="00DD59EA">
        <w:rPr>
          <w:rFonts w:ascii="Palatino Linotype" w:hAnsi="Palatino Linotype"/>
        </w:rPr>
        <w:t>dicha</w:t>
      </w:r>
      <w:r w:rsidR="0032452B" w:rsidRPr="00DD59EA">
        <w:rPr>
          <w:rFonts w:ascii="Palatino Linotype" w:hAnsi="Palatino Linotype"/>
        </w:rPr>
        <w:t>s</w:t>
      </w:r>
      <w:r w:rsidR="006C03CE" w:rsidRPr="00DD59EA">
        <w:rPr>
          <w:rFonts w:ascii="Palatino Linotype" w:hAnsi="Palatino Linotype"/>
        </w:rPr>
        <w:t xml:space="preserve"> prórroga</w:t>
      </w:r>
      <w:r w:rsidR="0032452B" w:rsidRPr="00DD59EA">
        <w:rPr>
          <w:rFonts w:ascii="Palatino Linotype" w:hAnsi="Palatino Linotype"/>
        </w:rPr>
        <w:t>s</w:t>
      </w:r>
      <w:r w:rsidR="006C03CE" w:rsidRPr="00DD59EA">
        <w:rPr>
          <w:rFonts w:ascii="Palatino Linotype" w:hAnsi="Palatino Linotype"/>
        </w:rPr>
        <w:t xml:space="preserve"> no </w:t>
      </w:r>
      <w:r w:rsidRPr="00DD59EA">
        <w:rPr>
          <w:rFonts w:ascii="Palatino Linotype" w:hAnsi="Palatino Linotype"/>
        </w:rPr>
        <w:t>cumple</w:t>
      </w:r>
      <w:r w:rsidR="0032452B" w:rsidRPr="00DD59EA">
        <w:rPr>
          <w:rFonts w:ascii="Palatino Linotype" w:hAnsi="Palatino Linotype"/>
        </w:rPr>
        <w:t>n</w:t>
      </w:r>
      <w:r w:rsidRPr="00DD59EA">
        <w:rPr>
          <w:rFonts w:ascii="Palatino Linotype" w:hAnsi="Palatino Linotype"/>
        </w:rPr>
        <w:t xml:space="preserve"> con </w:t>
      </w:r>
      <w:r w:rsidR="006C03CE" w:rsidRPr="00DD59EA">
        <w:rPr>
          <w:rFonts w:ascii="Palatino Linotype" w:hAnsi="Palatino Linotype"/>
        </w:rPr>
        <w:t xml:space="preserve">lo dispuesto en los artículos </w:t>
      </w:r>
      <w:r w:rsidRPr="00DD59EA">
        <w:rPr>
          <w:rFonts w:ascii="Palatino Linotype" w:hAnsi="Palatino Linotype"/>
        </w:rPr>
        <w:t xml:space="preserve">49, fracción II y </w:t>
      </w:r>
      <w:r w:rsidR="006C03CE" w:rsidRPr="00DD59EA">
        <w:rPr>
          <w:rFonts w:ascii="Palatino Linotype" w:hAnsi="Palatino Linotype"/>
        </w:rPr>
        <w:t xml:space="preserve">163, párrafo segundo de la </w:t>
      </w:r>
      <w:r w:rsidR="006C03CE" w:rsidRPr="00DD59EA">
        <w:rPr>
          <w:rFonts w:ascii="Palatino Linotype" w:hAnsi="Palatino Linotype" w:cs="Arial"/>
        </w:rPr>
        <w:t>Ley de Transparencia y Acceso a la Información Pública del Estado de México y Municipios.</w:t>
      </w:r>
    </w:p>
    <w:p w:rsidR="003820C7" w:rsidRPr="00DD59EA" w:rsidRDefault="003820C7" w:rsidP="00DA47BB">
      <w:pPr>
        <w:spacing w:before="100" w:beforeAutospacing="1" w:after="100" w:afterAutospacing="1" w:line="360" w:lineRule="auto"/>
        <w:jc w:val="both"/>
        <w:rPr>
          <w:rFonts w:ascii="Palatino Linotype" w:hAnsi="Palatino Linotype"/>
        </w:rPr>
      </w:pPr>
      <w:r w:rsidRPr="00DD59EA">
        <w:rPr>
          <w:rFonts w:ascii="Palatino Linotype" w:hAnsi="Palatino Linotype"/>
          <w:b/>
          <w:sz w:val="28"/>
          <w:szCs w:val="28"/>
        </w:rPr>
        <w:t>IV</w:t>
      </w:r>
      <w:r w:rsidR="0032452B" w:rsidRPr="00DD59EA">
        <w:rPr>
          <w:rFonts w:ascii="Palatino Linotype" w:hAnsi="Palatino Linotype"/>
          <w:b/>
          <w:sz w:val="28"/>
          <w:szCs w:val="28"/>
        </w:rPr>
        <w:t>.</w:t>
      </w:r>
      <w:r w:rsidRPr="00DD59EA">
        <w:rPr>
          <w:rFonts w:ascii="Palatino Linotype" w:hAnsi="Palatino Linotype"/>
        </w:rPr>
        <w:t xml:space="preserve"> De las constancias que obran en el expediente electrónico</w:t>
      </w:r>
      <w:r w:rsidRPr="00DD59EA">
        <w:rPr>
          <w:rFonts w:ascii="Palatino Linotype" w:hAnsi="Palatino Linotype"/>
          <w:b/>
        </w:rPr>
        <w:t>,</w:t>
      </w:r>
      <w:r w:rsidRPr="00DD59EA">
        <w:rPr>
          <w:rFonts w:ascii="Palatino Linotype" w:hAnsi="Palatino Linotype"/>
        </w:rPr>
        <w:t xml:space="preserve"> se advierte que </w:t>
      </w:r>
      <w:r w:rsidRPr="00DD59EA">
        <w:rPr>
          <w:rFonts w:ascii="Palatino Linotype" w:hAnsi="Palatino Linotype"/>
          <w:b/>
        </w:rPr>
        <w:t>EL SUJETO OBLIGADO</w:t>
      </w:r>
      <w:r w:rsidR="00D075BC" w:rsidRPr="00DD59EA">
        <w:rPr>
          <w:rFonts w:ascii="Palatino Linotype" w:hAnsi="Palatino Linotype"/>
          <w:b/>
        </w:rPr>
        <w:t>,</w:t>
      </w:r>
      <w:r w:rsidRPr="00DD59EA">
        <w:rPr>
          <w:rFonts w:ascii="Palatino Linotype" w:hAnsi="Palatino Linotype"/>
          <w:b/>
        </w:rPr>
        <w:t xml:space="preserve"> </w:t>
      </w:r>
      <w:r w:rsidRPr="00DD59EA">
        <w:rPr>
          <w:rFonts w:ascii="Palatino Linotype" w:hAnsi="Palatino Linotype"/>
        </w:rPr>
        <w:t>en fecha siete de febrero de dos mil diecinueve, dio respuesta a las solicitudes de información, en los mismos términos; motivo por el cual</w:t>
      </w:r>
      <w:r w:rsidR="0032452B" w:rsidRPr="00DD59EA">
        <w:rPr>
          <w:rFonts w:ascii="Palatino Linotype" w:hAnsi="Palatino Linotype"/>
        </w:rPr>
        <w:t>,</w:t>
      </w:r>
      <w:r w:rsidRPr="00DD59EA">
        <w:rPr>
          <w:rFonts w:ascii="Palatino Linotype" w:hAnsi="Palatino Linotype"/>
        </w:rPr>
        <w:t xml:space="preserve"> se inserta la respuesta de la solicitud de información </w:t>
      </w:r>
      <w:r w:rsidRPr="00DD59EA">
        <w:rPr>
          <w:rFonts w:ascii="Palatino Linotype" w:hAnsi="Palatino Linotype"/>
          <w:b/>
          <w:bCs/>
        </w:rPr>
        <w:t>00073/UPVT/IP/2019</w:t>
      </w:r>
      <w:r w:rsidRPr="00DD59EA">
        <w:rPr>
          <w:rFonts w:ascii="Palatino Linotype" w:hAnsi="Palatino Linotype"/>
        </w:rPr>
        <w:t>:</w:t>
      </w:r>
    </w:p>
    <w:p w:rsidR="003820C7" w:rsidRPr="00DD59EA" w:rsidRDefault="003820C7" w:rsidP="00DA47BB">
      <w:pPr>
        <w:spacing w:before="100" w:beforeAutospacing="1" w:after="100" w:afterAutospacing="1" w:line="360" w:lineRule="auto"/>
        <w:jc w:val="center"/>
        <w:rPr>
          <w:rFonts w:ascii="Palatino Linotype" w:hAnsi="Palatino Linotype"/>
        </w:rPr>
      </w:pPr>
      <w:r w:rsidRPr="00DD59EA">
        <w:rPr>
          <w:noProof/>
          <w:lang w:eastAsia="es-MX"/>
        </w:rPr>
        <w:drawing>
          <wp:inline distT="0" distB="0" distL="0" distR="0" wp14:anchorId="5FFC3A72" wp14:editId="7083F0EA">
            <wp:extent cx="5340699" cy="1823085"/>
            <wp:effectExtent l="0" t="0" r="0" b="571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70" t="27081" r="28195" b="45310"/>
                    <a:stretch/>
                  </pic:blipFill>
                  <pic:spPr bwMode="auto">
                    <a:xfrm>
                      <a:off x="0" y="0"/>
                      <a:ext cx="5439636" cy="1856858"/>
                    </a:xfrm>
                    <a:prstGeom prst="rect">
                      <a:avLst/>
                    </a:prstGeom>
                    <a:ln>
                      <a:noFill/>
                    </a:ln>
                    <a:extLst>
                      <a:ext uri="{53640926-AAD7-44D8-BBD7-CCE9431645EC}">
                        <a14:shadowObscured xmlns:a14="http://schemas.microsoft.com/office/drawing/2010/main"/>
                      </a:ext>
                    </a:extLst>
                  </pic:spPr>
                </pic:pic>
              </a:graphicData>
            </a:graphic>
          </wp:inline>
        </w:drawing>
      </w:r>
    </w:p>
    <w:p w:rsidR="00477541" w:rsidRPr="00DD59EA" w:rsidRDefault="00173A9B" w:rsidP="00DA47BB">
      <w:pPr>
        <w:spacing w:before="100" w:beforeAutospacing="1" w:after="100" w:afterAutospacing="1" w:line="360" w:lineRule="auto"/>
        <w:jc w:val="both"/>
        <w:rPr>
          <w:rFonts w:ascii="Palatino Linotype" w:hAnsi="Palatino Linotype"/>
        </w:rPr>
      </w:pPr>
      <w:r w:rsidRPr="00DD59EA">
        <w:rPr>
          <w:rFonts w:ascii="Palatino Linotype" w:hAnsi="Palatino Linotype"/>
        </w:rPr>
        <w:lastRenderedPageBreak/>
        <w:t xml:space="preserve">De manera adjunta </w:t>
      </w:r>
      <w:r w:rsidR="003820C7" w:rsidRPr="00DD59EA">
        <w:rPr>
          <w:rFonts w:ascii="Palatino Linotype" w:hAnsi="Palatino Linotype"/>
        </w:rPr>
        <w:t xml:space="preserve">a sus respuestas </w:t>
      </w:r>
      <w:r w:rsidR="003820C7" w:rsidRPr="00DD59EA">
        <w:rPr>
          <w:rFonts w:ascii="Palatino Linotype" w:hAnsi="Palatino Linotype"/>
          <w:b/>
        </w:rPr>
        <w:t xml:space="preserve">EL SUJETO OBLIGADO </w:t>
      </w:r>
      <w:r w:rsidR="003820C7" w:rsidRPr="00DD59EA">
        <w:rPr>
          <w:rFonts w:ascii="Palatino Linotype" w:hAnsi="Palatino Linotype"/>
        </w:rPr>
        <w:t>remitió</w:t>
      </w:r>
      <w:r w:rsidR="00477541" w:rsidRPr="00DD59EA">
        <w:rPr>
          <w:rFonts w:ascii="Palatino Linotype" w:hAnsi="Palatino Linotype"/>
        </w:rPr>
        <w:t xml:space="preserve"> los archivos electrónicos que a continuación se insertan:</w:t>
      </w:r>
    </w:p>
    <w:p w:rsidR="00477541" w:rsidRPr="00DD59EA" w:rsidRDefault="00477541" w:rsidP="00477541">
      <w:pPr>
        <w:spacing w:before="100" w:beforeAutospacing="1" w:after="100" w:afterAutospacing="1" w:line="360" w:lineRule="auto"/>
        <w:jc w:val="center"/>
        <w:rPr>
          <w:rFonts w:ascii="Palatino Linotype" w:hAnsi="Palatino Linotype" w:cs="Arial"/>
          <w:b/>
        </w:rPr>
      </w:pPr>
      <w:r w:rsidRPr="00DD59EA">
        <w:rPr>
          <w:rFonts w:ascii="Palatino Linotype" w:hAnsi="Palatino Linotype" w:cs="Arial"/>
          <w:b/>
        </w:rPr>
        <w:t>00567/INFOEM/IP/RR/2019</w:t>
      </w:r>
    </w:p>
    <w:p w:rsidR="00477541" w:rsidRPr="00DD59EA" w:rsidRDefault="00477541" w:rsidP="00477541">
      <w:pPr>
        <w:spacing w:before="100" w:beforeAutospacing="1" w:after="100" w:afterAutospacing="1" w:line="360" w:lineRule="auto"/>
        <w:jc w:val="center"/>
        <w:rPr>
          <w:rFonts w:ascii="Palatino Linotype" w:hAnsi="Palatino Linotype" w:cs="Arial"/>
          <w:b/>
        </w:rPr>
      </w:pPr>
      <w:r w:rsidRPr="00DD59EA">
        <w:rPr>
          <w:noProof/>
          <w:lang w:eastAsia="es-MX"/>
        </w:rPr>
        <w:drawing>
          <wp:inline distT="0" distB="0" distL="0" distR="0" wp14:anchorId="1FC1A451" wp14:editId="2BDA0BE0">
            <wp:extent cx="5432505" cy="5933552"/>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3748" t="14342" r="34246" b="23516"/>
                    <a:stretch/>
                  </pic:blipFill>
                  <pic:spPr bwMode="auto">
                    <a:xfrm>
                      <a:off x="0" y="0"/>
                      <a:ext cx="5451796" cy="5954622"/>
                    </a:xfrm>
                    <a:prstGeom prst="rect">
                      <a:avLst/>
                    </a:prstGeom>
                    <a:ln>
                      <a:noFill/>
                    </a:ln>
                    <a:extLst>
                      <a:ext uri="{53640926-AAD7-44D8-BBD7-CCE9431645EC}">
                        <a14:shadowObscured xmlns:a14="http://schemas.microsoft.com/office/drawing/2010/main"/>
                      </a:ext>
                    </a:extLst>
                  </pic:spPr>
                </pic:pic>
              </a:graphicData>
            </a:graphic>
          </wp:inline>
        </w:drawing>
      </w:r>
    </w:p>
    <w:p w:rsidR="00477541" w:rsidRPr="00DD59EA" w:rsidRDefault="00477541" w:rsidP="00477541">
      <w:pPr>
        <w:spacing w:before="100" w:beforeAutospacing="1" w:after="100" w:afterAutospacing="1" w:line="360" w:lineRule="auto"/>
        <w:jc w:val="center"/>
        <w:rPr>
          <w:rFonts w:ascii="Palatino Linotype" w:hAnsi="Palatino Linotype" w:cs="Arial"/>
          <w:b/>
        </w:rPr>
      </w:pPr>
      <w:r w:rsidRPr="00DD59EA">
        <w:rPr>
          <w:noProof/>
          <w:lang w:eastAsia="es-MX"/>
        </w:rPr>
        <w:lastRenderedPageBreak/>
        <w:drawing>
          <wp:inline distT="0" distB="0" distL="0" distR="0" wp14:anchorId="16CB3905" wp14:editId="3C47CB35">
            <wp:extent cx="3440882" cy="4607170"/>
            <wp:effectExtent l="0" t="0" r="7620" b="317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3746" t="11412" r="34247" b="19352"/>
                    <a:stretch/>
                  </pic:blipFill>
                  <pic:spPr bwMode="auto">
                    <a:xfrm>
                      <a:off x="0" y="0"/>
                      <a:ext cx="3487917" cy="4670148"/>
                    </a:xfrm>
                    <a:prstGeom prst="rect">
                      <a:avLst/>
                    </a:prstGeom>
                    <a:ln>
                      <a:noFill/>
                    </a:ln>
                    <a:extLst>
                      <a:ext uri="{53640926-AAD7-44D8-BBD7-CCE9431645EC}">
                        <a14:shadowObscured xmlns:a14="http://schemas.microsoft.com/office/drawing/2010/main"/>
                      </a:ext>
                    </a:extLst>
                  </pic:spPr>
                </pic:pic>
              </a:graphicData>
            </a:graphic>
          </wp:inline>
        </w:drawing>
      </w:r>
    </w:p>
    <w:p w:rsidR="00477541" w:rsidRPr="00DD59EA" w:rsidRDefault="00477541" w:rsidP="00477541">
      <w:pPr>
        <w:spacing w:before="100" w:beforeAutospacing="1" w:after="100" w:afterAutospacing="1" w:line="360" w:lineRule="auto"/>
        <w:jc w:val="center"/>
        <w:rPr>
          <w:rFonts w:ascii="Palatino Linotype" w:hAnsi="Palatino Linotype" w:cs="Arial"/>
          <w:b/>
        </w:rPr>
      </w:pPr>
      <w:r w:rsidRPr="00DD59EA">
        <w:rPr>
          <w:noProof/>
          <w:lang w:eastAsia="es-MX"/>
        </w:rPr>
        <w:drawing>
          <wp:inline distT="0" distB="0" distL="0" distR="0" wp14:anchorId="25770E7F" wp14:editId="52B63AFD">
            <wp:extent cx="3561503" cy="2426677"/>
            <wp:effectExtent l="0" t="0" r="127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921" t="17426" r="34507" b="44334"/>
                    <a:stretch/>
                  </pic:blipFill>
                  <pic:spPr bwMode="auto">
                    <a:xfrm>
                      <a:off x="0" y="0"/>
                      <a:ext cx="3636911" cy="2478057"/>
                    </a:xfrm>
                    <a:prstGeom prst="rect">
                      <a:avLst/>
                    </a:prstGeom>
                    <a:ln>
                      <a:noFill/>
                    </a:ln>
                    <a:extLst>
                      <a:ext uri="{53640926-AAD7-44D8-BBD7-CCE9431645EC}">
                        <a14:shadowObscured xmlns:a14="http://schemas.microsoft.com/office/drawing/2010/main"/>
                      </a:ext>
                    </a:extLst>
                  </pic:spPr>
                </pic:pic>
              </a:graphicData>
            </a:graphic>
          </wp:inline>
        </w:drawing>
      </w:r>
    </w:p>
    <w:p w:rsidR="00477541" w:rsidRPr="00DD59EA" w:rsidRDefault="00477541" w:rsidP="00477541">
      <w:pPr>
        <w:spacing w:before="100" w:beforeAutospacing="1" w:after="100" w:afterAutospacing="1" w:line="360" w:lineRule="auto"/>
        <w:jc w:val="center"/>
        <w:rPr>
          <w:rFonts w:ascii="Palatino Linotype" w:hAnsi="Palatino Linotype" w:cs="Arial"/>
          <w:b/>
        </w:rPr>
      </w:pPr>
      <w:r w:rsidRPr="00DD59EA">
        <w:rPr>
          <w:rFonts w:ascii="Palatino Linotype" w:hAnsi="Palatino Linotype" w:cs="Arial"/>
          <w:b/>
        </w:rPr>
        <w:lastRenderedPageBreak/>
        <w:t>00568/INFOEM/IP/RR/2019</w:t>
      </w:r>
    </w:p>
    <w:p w:rsidR="00477541" w:rsidRPr="00DD59EA" w:rsidRDefault="00477541" w:rsidP="00477541">
      <w:pPr>
        <w:spacing w:before="100" w:beforeAutospacing="1" w:after="100" w:afterAutospacing="1" w:line="360" w:lineRule="auto"/>
        <w:jc w:val="center"/>
        <w:rPr>
          <w:rFonts w:ascii="Palatino Linotype" w:hAnsi="Palatino Linotype"/>
        </w:rPr>
      </w:pPr>
      <w:r w:rsidRPr="00DD59EA">
        <w:rPr>
          <w:noProof/>
          <w:lang w:eastAsia="es-MX"/>
        </w:rPr>
        <w:drawing>
          <wp:inline distT="0" distB="0" distL="0" distR="0" wp14:anchorId="0C93F08A" wp14:editId="73481EFB">
            <wp:extent cx="5406390" cy="6601767"/>
            <wp:effectExtent l="0" t="0" r="3810" b="889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416" t="14476" r="35431" b="22710"/>
                    <a:stretch/>
                  </pic:blipFill>
                  <pic:spPr bwMode="auto">
                    <a:xfrm>
                      <a:off x="0" y="0"/>
                      <a:ext cx="5433655" cy="6635061"/>
                    </a:xfrm>
                    <a:prstGeom prst="rect">
                      <a:avLst/>
                    </a:prstGeom>
                    <a:ln>
                      <a:noFill/>
                    </a:ln>
                    <a:extLst>
                      <a:ext uri="{53640926-AAD7-44D8-BBD7-CCE9431645EC}">
                        <a14:shadowObscured xmlns:a14="http://schemas.microsoft.com/office/drawing/2010/main"/>
                      </a:ext>
                    </a:extLst>
                  </pic:spPr>
                </pic:pic>
              </a:graphicData>
            </a:graphic>
          </wp:inline>
        </w:drawing>
      </w:r>
    </w:p>
    <w:p w:rsidR="00477541" w:rsidRPr="00DD59EA" w:rsidRDefault="00477541" w:rsidP="00477541">
      <w:pPr>
        <w:spacing w:before="100" w:beforeAutospacing="1" w:after="100" w:afterAutospacing="1" w:line="360" w:lineRule="auto"/>
        <w:jc w:val="center"/>
        <w:rPr>
          <w:rFonts w:ascii="Palatino Linotype" w:hAnsi="Palatino Linotype"/>
        </w:rPr>
      </w:pPr>
      <w:r w:rsidRPr="00DD59EA">
        <w:rPr>
          <w:noProof/>
          <w:lang w:eastAsia="es-MX"/>
        </w:rPr>
        <w:lastRenderedPageBreak/>
        <w:drawing>
          <wp:inline distT="0" distB="0" distL="0" distR="0" wp14:anchorId="1CB0FCC7" wp14:editId="1AF5E271">
            <wp:extent cx="3706023" cy="4572000"/>
            <wp:effectExtent l="0" t="0" r="889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3748" t="11105" r="34681" b="19661"/>
                    <a:stretch/>
                  </pic:blipFill>
                  <pic:spPr bwMode="auto">
                    <a:xfrm>
                      <a:off x="0" y="0"/>
                      <a:ext cx="3731012" cy="4602828"/>
                    </a:xfrm>
                    <a:prstGeom prst="rect">
                      <a:avLst/>
                    </a:prstGeom>
                    <a:ln>
                      <a:noFill/>
                    </a:ln>
                    <a:extLst>
                      <a:ext uri="{53640926-AAD7-44D8-BBD7-CCE9431645EC}">
                        <a14:shadowObscured xmlns:a14="http://schemas.microsoft.com/office/drawing/2010/main"/>
                      </a:ext>
                    </a:extLst>
                  </pic:spPr>
                </pic:pic>
              </a:graphicData>
            </a:graphic>
          </wp:inline>
        </w:drawing>
      </w:r>
    </w:p>
    <w:p w:rsidR="00477541" w:rsidRPr="00DD59EA" w:rsidRDefault="00477541" w:rsidP="00477541">
      <w:pPr>
        <w:spacing w:before="100" w:beforeAutospacing="1" w:after="100" w:afterAutospacing="1" w:line="360" w:lineRule="auto"/>
        <w:jc w:val="center"/>
        <w:rPr>
          <w:rFonts w:ascii="Palatino Linotype" w:hAnsi="Palatino Linotype"/>
        </w:rPr>
      </w:pPr>
      <w:r w:rsidRPr="00DD59EA">
        <w:rPr>
          <w:noProof/>
          <w:lang w:eastAsia="es-MX"/>
        </w:rPr>
        <w:drawing>
          <wp:inline distT="0" distB="0" distL="0" distR="0" wp14:anchorId="0FC92B29" wp14:editId="2863283A">
            <wp:extent cx="3720762" cy="2446773"/>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4179" t="28373" r="34160" b="34617"/>
                    <a:stretch/>
                  </pic:blipFill>
                  <pic:spPr bwMode="auto">
                    <a:xfrm>
                      <a:off x="0" y="0"/>
                      <a:ext cx="3768693" cy="2478292"/>
                    </a:xfrm>
                    <a:prstGeom prst="rect">
                      <a:avLst/>
                    </a:prstGeom>
                    <a:ln>
                      <a:noFill/>
                    </a:ln>
                    <a:extLst>
                      <a:ext uri="{53640926-AAD7-44D8-BBD7-CCE9431645EC}">
                        <a14:shadowObscured xmlns:a14="http://schemas.microsoft.com/office/drawing/2010/main"/>
                      </a:ext>
                    </a:extLst>
                  </pic:spPr>
                </pic:pic>
              </a:graphicData>
            </a:graphic>
          </wp:inline>
        </w:drawing>
      </w:r>
    </w:p>
    <w:p w:rsidR="005E2458" w:rsidRPr="00DD59EA" w:rsidRDefault="003820C7"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b/>
          <w:sz w:val="28"/>
          <w:szCs w:val="28"/>
        </w:rPr>
        <w:lastRenderedPageBreak/>
        <w:t xml:space="preserve">V. </w:t>
      </w:r>
      <w:r w:rsidR="005E2458" w:rsidRPr="00DD59EA">
        <w:rPr>
          <w:rFonts w:ascii="Palatino Linotype" w:hAnsi="Palatino Linotype" w:cs="Arial"/>
        </w:rPr>
        <w:t>Inconforme con la</w:t>
      </w:r>
      <w:r w:rsidRPr="00DD59EA">
        <w:rPr>
          <w:rFonts w:ascii="Palatino Linotype" w:hAnsi="Palatino Linotype" w:cs="Arial"/>
        </w:rPr>
        <w:t>s respuestas,</w:t>
      </w:r>
      <w:r w:rsidRPr="00DD59EA">
        <w:rPr>
          <w:rFonts w:ascii="Palatino Linotype" w:hAnsi="Palatino Linotype"/>
        </w:rPr>
        <w:t xml:space="preserve"> en fecha ocho de febrero de dos mil diecinueve</w:t>
      </w:r>
      <w:r w:rsidRPr="00DD59EA">
        <w:rPr>
          <w:rFonts w:ascii="Palatino Linotype" w:hAnsi="Palatino Linotype" w:cs="Arial"/>
        </w:rPr>
        <w:t xml:space="preserve">, </w:t>
      </w:r>
      <w:r w:rsidR="00173A9B" w:rsidRPr="00DD59EA">
        <w:rPr>
          <w:rFonts w:ascii="Palatino Linotype" w:hAnsi="Palatino Linotype"/>
          <w:b/>
        </w:rPr>
        <w:t>LA</w:t>
      </w:r>
      <w:r w:rsidRPr="00DD59EA">
        <w:rPr>
          <w:rFonts w:ascii="Palatino Linotype" w:hAnsi="Palatino Linotype"/>
          <w:b/>
        </w:rPr>
        <w:t xml:space="preserve"> RECURRENTE</w:t>
      </w:r>
      <w:r w:rsidRPr="00DD59EA">
        <w:rPr>
          <w:rFonts w:ascii="Palatino Linotype" w:hAnsi="Palatino Linotype"/>
        </w:rPr>
        <w:t xml:space="preserve"> interpuso los recursos de revisión objeto del presente estudio, los cuales fueron registrados en </w:t>
      </w:r>
      <w:r w:rsidRPr="00DD59EA">
        <w:rPr>
          <w:rFonts w:ascii="Palatino Linotype" w:hAnsi="Palatino Linotype"/>
          <w:b/>
        </w:rPr>
        <w:t>EL SAIMEX</w:t>
      </w:r>
      <w:r w:rsidRPr="00DD59EA">
        <w:rPr>
          <w:rFonts w:ascii="Palatino Linotype" w:hAnsi="Palatino Linotype"/>
        </w:rPr>
        <w:t xml:space="preserve"> y se les asignaron los números de expediente </w:t>
      </w:r>
      <w:r w:rsidRPr="00DD59EA">
        <w:rPr>
          <w:rFonts w:ascii="Palatino Linotype" w:hAnsi="Palatino Linotype" w:cs="Arial"/>
          <w:b/>
        </w:rPr>
        <w:t xml:space="preserve">00567/INFOEM/IP/RR/2019 </w:t>
      </w:r>
      <w:r w:rsidRPr="00DD59EA">
        <w:rPr>
          <w:rFonts w:ascii="Palatino Linotype" w:hAnsi="Palatino Linotype" w:cs="Arial"/>
        </w:rPr>
        <w:t xml:space="preserve">y </w:t>
      </w:r>
      <w:r w:rsidRPr="00DD59EA">
        <w:rPr>
          <w:rFonts w:ascii="Palatino Linotype" w:hAnsi="Palatino Linotype" w:cs="Arial"/>
          <w:b/>
        </w:rPr>
        <w:t xml:space="preserve">00568/INFOEM/IP/RR/2019, </w:t>
      </w:r>
      <w:r w:rsidR="005E2458" w:rsidRPr="00DD59EA">
        <w:rPr>
          <w:rFonts w:ascii="Palatino Linotype" w:hAnsi="Palatino Linotype" w:cs="Arial"/>
        </w:rPr>
        <w:t>en los que señaló como acto</w:t>
      </w:r>
      <w:r w:rsidRPr="00DD59EA">
        <w:rPr>
          <w:rFonts w:ascii="Palatino Linotype" w:hAnsi="Palatino Linotype" w:cs="Arial"/>
        </w:rPr>
        <w:t xml:space="preserve"> </w:t>
      </w:r>
      <w:r w:rsidR="005E2458" w:rsidRPr="00DD59EA">
        <w:rPr>
          <w:rFonts w:ascii="Palatino Linotype" w:hAnsi="Palatino Linotype" w:cs="Arial"/>
        </w:rPr>
        <w:t>impugnado:</w:t>
      </w:r>
    </w:p>
    <w:p w:rsidR="005E2458" w:rsidRPr="00DD59EA" w:rsidRDefault="005E2458" w:rsidP="00DA47BB">
      <w:pPr>
        <w:spacing w:before="100" w:beforeAutospacing="1" w:after="100" w:afterAutospacing="1"/>
        <w:ind w:left="851" w:right="899"/>
        <w:jc w:val="both"/>
        <w:rPr>
          <w:rFonts w:ascii="Palatino Linotype" w:hAnsi="Palatino Linotype" w:cs="Arial"/>
          <w:i/>
          <w:sz w:val="22"/>
        </w:rPr>
      </w:pPr>
      <w:r w:rsidRPr="00DD59EA">
        <w:rPr>
          <w:rFonts w:ascii="Palatino Linotype" w:hAnsi="Palatino Linotype" w:cs="Arial"/>
          <w:i/>
          <w:sz w:val="22"/>
        </w:rPr>
        <w:t>“</w:t>
      </w:r>
      <w:r w:rsidR="003820C7" w:rsidRPr="00DD59EA">
        <w:rPr>
          <w:rFonts w:ascii="Palatino Linotype" w:hAnsi="Palatino Linotype" w:cs="Arial"/>
          <w:i/>
          <w:sz w:val="22"/>
        </w:rPr>
        <w:t>No entregan la información</w:t>
      </w:r>
      <w:r w:rsidRPr="00DD59EA">
        <w:rPr>
          <w:rFonts w:ascii="Palatino Linotype" w:hAnsi="Palatino Linotype" w:cs="Arial"/>
          <w:i/>
          <w:sz w:val="22"/>
        </w:rPr>
        <w:t>.” (Sic)</w:t>
      </w:r>
    </w:p>
    <w:p w:rsidR="005E2458" w:rsidRPr="00DD59EA" w:rsidRDefault="005E2458"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Asimismo, </w:t>
      </w:r>
      <w:r w:rsidR="00173A9B" w:rsidRPr="00DD59EA">
        <w:rPr>
          <w:rFonts w:ascii="Palatino Linotype" w:hAnsi="Palatino Linotype" w:cs="Arial"/>
          <w:b/>
        </w:rPr>
        <w:t>LA</w:t>
      </w:r>
      <w:r w:rsidRPr="00DD59EA">
        <w:rPr>
          <w:rFonts w:ascii="Palatino Linotype" w:hAnsi="Palatino Linotype" w:cs="Arial"/>
          <w:b/>
        </w:rPr>
        <w:t xml:space="preserve"> RECURRENTE</w:t>
      </w:r>
      <w:r w:rsidRPr="00DD59EA">
        <w:rPr>
          <w:rFonts w:ascii="Palatino Linotype" w:hAnsi="Palatino Linotype" w:cs="Arial"/>
        </w:rPr>
        <w:t xml:space="preserve"> manifestó como razones o motivos de inconformidad: </w:t>
      </w:r>
    </w:p>
    <w:p w:rsidR="005E2458" w:rsidRPr="00DD59EA" w:rsidRDefault="003820C7" w:rsidP="00DA47BB">
      <w:pPr>
        <w:spacing w:before="100" w:beforeAutospacing="1" w:after="100" w:afterAutospacing="1"/>
        <w:ind w:left="851" w:right="899"/>
        <w:jc w:val="both"/>
        <w:rPr>
          <w:rFonts w:ascii="Palatino Linotype" w:hAnsi="Palatino Linotype" w:cs="Arial"/>
          <w:i/>
          <w:sz w:val="22"/>
        </w:rPr>
      </w:pPr>
      <w:r w:rsidRPr="00DD59EA">
        <w:rPr>
          <w:rFonts w:ascii="Palatino Linotype" w:hAnsi="Palatino Linotype" w:cs="Arial"/>
          <w:b/>
        </w:rPr>
        <w:t xml:space="preserve">00567/INFOEM/IP/RR/2019 </w:t>
      </w:r>
    </w:p>
    <w:p w:rsidR="005E2458" w:rsidRPr="00DD59EA" w:rsidRDefault="005E2458" w:rsidP="00DA47BB">
      <w:pPr>
        <w:ind w:left="851" w:right="902"/>
        <w:jc w:val="both"/>
        <w:rPr>
          <w:rFonts w:ascii="Palatino Linotype" w:hAnsi="Palatino Linotype" w:cs="Arial"/>
          <w:i/>
          <w:sz w:val="22"/>
        </w:rPr>
      </w:pPr>
      <w:r w:rsidRPr="00DD59EA">
        <w:rPr>
          <w:rFonts w:ascii="Palatino Linotype" w:hAnsi="Palatino Linotype" w:cs="Arial"/>
          <w:i/>
          <w:sz w:val="22"/>
        </w:rPr>
        <w:t>“</w:t>
      </w:r>
      <w:r w:rsidR="003820C7" w:rsidRPr="00DD59EA">
        <w:rPr>
          <w:rFonts w:ascii="Palatino Linotype" w:hAnsi="Palatino Linotype" w:cs="Arial"/>
          <w:i/>
          <w:sz w:val="22"/>
        </w:rPr>
        <w:t xml:space="preserve">Y los salarios </w:t>
      </w:r>
      <w:proofErr w:type="spellStart"/>
      <w:r w:rsidR="003820C7" w:rsidRPr="00DD59EA">
        <w:rPr>
          <w:rFonts w:ascii="Palatino Linotype" w:hAnsi="Palatino Linotype" w:cs="Arial"/>
          <w:i/>
          <w:sz w:val="22"/>
        </w:rPr>
        <w:t>caidos</w:t>
      </w:r>
      <w:proofErr w:type="spellEnd"/>
      <w:r w:rsidR="003820C7" w:rsidRPr="00DD59EA">
        <w:rPr>
          <w:rFonts w:ascii="Palatino Linotype" w:hAnsi="Palatino Linotype" w:cs="Arial"/>
          <w:i/>
          <w:sz w:val="22"/>
        </w:rPr>
        <w:t xml:space="preserve"> no es deber, </w:t>
      </w:r>
      <w:proofErr w:type="spellStart"/>
      <w:r w:rsidR="003820C7" w:rsidRPr="00DD59EA">
        <w:rPr>
          <w:rFonts w:ascii="Palatino Linotype" w:hAnsi="Palatino Linotype" w:cs="Arial"/>
          <w:i/>
          <w:sz w:val="22"/>
        </w:rPr>
        <w:t>faor</w:t>
      </w:r>
      <w:proofErr w:type="spellEnd"/>
      <w:r w:rsidR="003820C7" w:rsidRPr="00DD59EA">
        <w:rPr>
          <w:rFonts w:ascii="Palatino Linotype" w:hAnsi="Palatino Linotype" w:cs="Arial"/>
          <w:i/>
          <w:sz w:val="22"/>
        </w:rPr>
        <w:t xml:space="preserve"> de no negar la información</w:t>
      </w:r>
      <w:r w:rsidRPr="00DD59EA">
        <w:rPr>
          <w:rFonts w:ascii="Palatino Linotype" w:hAnsi="Palatino Linotype" w:cs="Arial"/>
          <w:i/>
          <w:sz w:val="22"/>
        </w:rPr>
        <w:t>.” (Sic)</w:t>
      </w:r>
    </w:p>
    <w:p w:rsidR="005E2458" w:rsidRPr="00DD59EA" w:rsidRDefault="003820C7" w:rsidP="00DA47BB">
      <w:pPr>
        <w:spacing w:before="100" w:beforeAutospacing="1" w:after="100" w:afterAutospacing="1"/>
        <w:ind w:left="851" w:right="899"/>
        <w:jc w:val="both"/>
        <w:rPr>
          <w:rFonts w:ascii="Palatino Linotype" w:hAnsi="Palatino Linotype" w:cs="Arial"/>
          <w:i/>
          <w:sz w:val="22"/>
        </w:rPr>
      </w:pPr>
      <w:r w:rsidRPr="00DD59EA">
        <w:rPr>
          <w:rFonts w:ascii="Palatino Linotype" w:hAnsi="Palatino Linotype" w:cs="Arial"/>
          <w:b/>
        </w:rPr>
        <w:t>00568/INFOEM/IP/RR/2019</w:t>
      </w:r>
    </w:p>
    <w:p w:rsidR="005E2458" w:rsidRPr="00DD59EA" w:rsidRDefault="005E2458" w:rsidP="00DA47BB">
      <w:pPr>
        <w:ind w:left="851" w:right="902"/>
        <w:jc w:val="both"/>
        <w:rPr>
          <w:rFonts w:ascii="Palatino Linotype" w:hAnsi="Palatino Linotype" w:cs="Arial"/>
          <w:i/>
          <w:sz w:val="22"/>
        </w:rPr>
      </w:pPr>
      <w:r w:rsidRPr="00DD59EA">
        <w:rPr>
          <w:rFonts w:ascii="Palatino Linotype" w:hAnsi="Palatino Linotype" w:cs="Arial"/>
          <w:i/>
          <w:sz w:val="22"/>
        </w:rPr>
        <w:t>“</w:t>
      </w:r>
      <w:proofErr w:type="spellStart"/>
      <w:r w:rsidR="003820C7" w:rsidRPr="00DD59EA">
        <w:rPr>
          <w:rFonts w:ascii="Palatino Linotype" w:hAnsi="Palatino Linotype" w:cs="Arial"/>
          <w:i/>
          <w:sz w:val="22"/>
        </w:rPr>
        <w:t>Osea</w:t>
      </w:r>
      <w:proofErr w:type="spellEnd"/>
      <w:r w:rsidR="003820C7" w:rsidRPr="00DD59EA">
        <w:rPr>
          <w:rFonts w:ascii="Palatino Linotype" w:hAnsi="Palatino Linotype" w:cs="Arial"/>
          <w:i/>
          <w:sz w:val="22"/>
        </w:rPr>
        <w:t xml:space="preserve"> que a este trabajador no se le </w:t>
      </w:r>
      <w:proofErr w:type="spellStart"/>
      <w:r w:rsidR="003820C7" w:rsidRPr="00DD59EA">
        <w:rPr>
          <w:rFonts w:ascii="Palatino Linotype" w:hAnsi="Palatino Linotype" w:cs="Arial"/>
          <w:i/>
          <w:sz w:val="22"/>
        </w:rPr>
        <w:t>subio</w:t>
      </w:r>
      <w:proofErr w:type="spellEnd"/>
      <w:r w:rsidR="003820C7" w:rsidRPr="00DD59EA">
        <w:rPr>
          <w:rFonts w:ascii="Palatino Linotype" w:hAnsi="Palatino Linotype" w:cs="Arial"/>
          <w:i/>
          <w:sz w:val="22"/>
        </w:rPr>
        <w:t xml:space="preserve"> el sueldo y se violaron sus derechos en materia laboral, gracias una prueba más de su incriminación</w:t>
      </w:r>
      <w:r w:rsidRPr="00DD59EA">
        <w:rPr>
          <w:rFonts w:ascii="Palatino Linotype" w:hAnsi="Palatino Linotype" w:cs="Arial"/>
          <w:i/>
          <w:sz w:val="22"/>
        </w:rPr>
        <w:t>.” (Sic)</w:t>
      </w:r>
    </w:p>
    <w:p w:rsidR="005E2458" w:rsidRPr="00DD59EA" w:rsidRDefault="005E2458" w:rsidP="00DA47BB">
      <w:pPr>
        <w:pStyle w:val="Prrafodelista"/>
        <w:spacing w:before="100" w:beforeAutospacing="1" w:after="100" w:afterAutospacing="1" w:line="360" w:lineRule="auto"/>
        <w:ind w:left="0"/>
        <w:contextualSpacing w:val="0"/>
        <w:jc w:val="both"/>
        <w:rPr>
          <w:rFonts w:ascii="Palatino Linotype" w:hAnsi="Palatino Linotype" w:cs="Arial"/>
        </w:rPr>
      </w:pPr>
      <w:r w:rsidRPr="00DD59EA">
        <w:rPr>
          <w:rFonts w:ascii="Palatino Linotype" w:hAnsi="Palatino Linotype"/>
          <w:b/>
          <w:sz w:val="28"/>
          <w:szCs w:val="28"/>
        </w:rPr>
        <w:t>V</w:t>
      </w:r>
      <w:r w:rsidR="003820C7" w:rsidRPr="00DD59EA">
        <w:rPr>
          <w:rFonts w:ascii="Palatino Linotype" w:hAnsi="Palatino Linotype"/>
          <w:b/>
          <w:sz w:val="28"/>
          <w:szCs w:val="28"/>
        </w:rPr>
        <w:t>I</w:t>
      </w:r>
      <w:r w:rsidRPr="00DD59EA">
        <w:rPr>
          <w:rFonts w:ascii="Palatino Linotype" w:hAnsi="Palatino Linotype"/>
          <w:b/>
          <w:sz w:val="28"/>
          <w:szCs w:val="28"/>
        </w:rPr>
        <w:t>.</w:t>
      </w:r>
      <w:r w:rsidRPr="00DD59EA">
        <w:rPr>
          <w:rFonts w:ascii="Palatino Linotype" w:hAnsi="Palatino Linotype"/>
          <w:b/>
        </w:rPr>
        <w:t xml:space="preserve"> </w:t>
      </w:r>
      <w:r w:rsidRPr="00DD59EA">
        <w:rPr>
          <w:rFonts w:ascii="Palatino Linotype" w:hAnsi="Palatino Linotype" w:cs="Arial"/>
        </w:rPr>
        <w:t xml:space="preserve">El </w:t>
      </w:r>
      <w:r w:rsidR="003820C7" w:rsidRPr="00DD59EA">
        <w:rPr>
          <w:rFonts w:ascii="Palatino Linotype" w:hAnsi="Palatino Linotype"/>
        </w:rPr>
        <w:t>ocho de febrero de dos mil diecinueve</w:t>
      </w:r>
      <w:r w:rsidRPr="00DD59EA">
        <w:rPr>
          <w:rFonts w:ascii="Palatino Linotype" w:hAnsi="Palatino Linotype" w:cs="Arial"/>
        </w:rPr>
        <w:t xml:space="preserve">, los recursos de que se trata se enviaron electrónicamente al Instituto de </w:t>
      </w:r>
      <w:r w:rsidRPr="00DD59EA">
        <w:rPr>
          <w:rFonts w:ascii="Palatino Linotype" w:eastAsia="Arial Unicode MS" w:hAnsi="Palatino Linotype" w:cs="Arial"/>
        </w:rPr>
        <w:t>Transparencia</w:t>
      </w:r>
      <w:r w:rsidRPr="00DD59EA">
        <w:rPr>
          <w:rFonts w:ascii="Palatino Linotype" w:hAnsi="Palatino Linotype" w:cs="Arial"/>
        </w:rPr>
        <w:t xml:space="preserve">, Acceso a la Información Pública y Protección de Datos Personales del Estado de México y Municipios y con fundamento en el artículo 185, fracción I de la </w:t>
      </w:r>
      <w:r w:rsidRPr="00DD59EA">
        <w:rPr>
          <w:rFonts w:ascii="Palatino Linotype" w:hAnsi="Palatino Linotype"/>
        </w:rPr>
        <w:t>Ley de Transparencia y Acceso a la Información Pública del Estado de México y Municipios</w:t>
      </w:r>
      <w:r w:rsidRPr="00DD59EA">
        <w:rPr>
          <w:rFonts w:ascii="Palatino Linotype" w:hAnsi="Palatino Linotype" w:cs="Arial"/>
        </w:rPr>
        <w:t>, se turnaron, a través del</w:t>
      </w:r>
      <w:r w:rsidRPr="00DD59EA">
        <w:rPr>
          <w:rFonts w:ascii="Palatino Linotype" w:eastAsia="Arial Unicode MS" w:hAnsi="Palatino Linotype" w:cs="Arial"/>
        </w:rPr>
        <w:t xml:space="preserve"> </w:t>
      </w:r>
      <w:r w:rsidRPr="00DD59EA">
        <w:rPr>
          <w:rFonts w:ascii="Palatino Linotype" w:eastAsia="Arial Unicode MS" w:hAnsi="Palatino Linotype" w:cs="Arial"/>
          <w:b/>
        </w:rPr>
        <w:t>SAIMEX</w:t>
      </w:r>
      <w:r w:rsidRPr="00DD59EA">
        <w:rPr>
          <w:rFonts w:ascii="Palatino Linotype" w:hAnsi="Palatino Linotype"/>
        </w:rPr>
        <w:t xml:space="preserve">, a la </w:t>
      </w:r>
      <w:r w:rsidRPr="00DD59EA">
        <w:rPr>
          <w:rFonts w:ascii="Palatino Linotype" w:hAnsi="Palatino Linotype" w:cs="Arial"/>
        </w:rPr>
        <w:t xml:space="preserve">Comisionada </w:t>
      </w:r>
      <w:r w:rsidRPr="00DD59EA">
        <w:rPr>
          <w:rFonts w:ascii="Palatino Linotype" w:hAnsi="Palatino Linotype" w:cs="Arial"/>
          <w:b/>
        </w:rPr>
        <w:t xml:space="preserve">EVA ABAID YAPUR </w:t>
      </w:r>
      <w:r w:rsidRPr="00DD59EA">
        <w:rPr>
          <w:rFonts w:ascii="Palatino Linotype" w:hAnsi="Palatino Linotype" w:cs="Arial"/>
        </w:rPr>
        <w:t xml:space="preserve">y al Comisionado </w:t>
      </w:r>
      <w:r w:rsidRPr="00DD59EA">
        <w:rPr>
          <w:rFonts w:ascii="Palatino Linotype" w:hAnsi="Palatino Linotype" w:cs="Arial"/>
          <w:b/>
        </w:rPr>
        <w:t>JOSÉ GUADALUPE LUNA HERNÁNDEZ</w:t>
      </w:r>
      <w:r w:rsidRPr="00DD59EA">
        <w:rPr>
          <w:rFonts w:ascii="Palatino Linotype" w:hAnsi="Palatino Linotype"/>
        </w:rPr>
        <w:t>, respectivamente</w:t>
      </w:r>
      <w:r w:rsidRPr="00DD59EA">
        <w:rPr>
          <w:rFonts w:ascii="Palatino Linotype" w:hAnsi="Palatino Linotype" w:cs="Arial"/>
        </w:rPr>
        <w:t xml:space="preserve"> a efecto de decretar su admisión o </w:t>
      </w:r>
      <w:proofErr w:type="spellStart"/>
      <w:r w:rsidRPr="00DD59EA">
        <w:rPr>
          <w:rFonts w:ascii="Palatino Linotype" w:hAnsi="Palatino Linotype" w:cs="Arial"/>
        </w:rPr>
        <w:t>desechamiento</w:t>
      </w:r>
      <w:proofErr w:type="spellEnd"/>
      <w:r w:rsidRPr="00DD59EA">
        <w:rPr>
          <w:rFonts w:ascii="Palatino Linotype" w:hAnsi="Palatino Linotype" w:cs="Arial"/>
        </w:rPr>
        <w:t>.</w:t>
      </w:r>
    </w:p>
    <w:p w:rsidR="005E2458" w:rsidRPr="00DD59EA" w:rsidRDefault="005E2458" w:rsidP="00DA47BB">
      <w:pPr>
        <w:pStyle w:val="Prrafodelista"/>
        <w:spacing w:before="100" w:beforeAutospacing="1" w:after="100" w:afterAutospacing="1" w:line="360" w:lineRule="auto"/>
        <w:ind w:left="0"/>
        <w:contextualSpacing w:val="0"/>
        <w:jc w:val="both"/>
        <w:rPr>
          <w:rFonts w:ascii="Palatino Linotype" w:hAnsi="Palatino Linotype" w:cs="Arial"/>
        </w:rPr>
      </w:pPr>
      <w:r w:rsidRPr="00DD59EA">
        <w:rPr>
          <w:rFonts w:ascii="Palatino Linotype" w:hAnsi="Palatino Linotype" w:cs="Arial"/>
          <w:b/>
          <w:sz w:val="28"/>
          <w:szCs w:val="28"/>
        </w:rPr>
        <w:t>V</w:t>
      </w:r>
      <w:r w:rsidR="007E6FDA" w:rsidRPr="00DD59EA">
        <w:rPr>
          <w:rFonts w:ascii="Palatino Linotype" w:hAnsi="Palatino Linotype" w:cs="Arial"/>
          <w:b/>
          <w:sz w:val="28"/>
          <w:szCs w:val="28"/>
        </w:rPr>
        <w:t>II</w:t>
      </w:r>
      <w:r w:rsidRPr="00DD59EA">
        <w:rPr>
          <w:rFonts w:ascii="Palatino Linotype" w:hAnsi="Palatino Linotype" w:cs="Arial"/>
          <w:b/>
          <w:sz w:val="28"/>
          <w:szCs w:val="28"/>
        </w:rPr>
        <w:t>.</w:t>
      </w:r>
      <w:r w:rsidRPr="00DD59EA">
        <w:rPr>
          <w:rFonts w:ascii="Palatino Linotype" w:hAnsi="Palatino Linotype" w:cs="Arial"/>
        </w:rPr>
        <w:t xml:space="preserve"> El </w:t>
      </w:r>
      <w:r w:rsidR="002A4CEC" w:rsidRPr="00DD59EA">
        <w:rPr>
          <w:rFonts w:ascii="Palatino Linotype" w:hAnsi="Palatino Linotype" w:cs="Arial"/>
        </w:rPr>
        <w:t xml:space="preserve">catorce de febrero de dos </w:t>
      </w:r>
      <w:r w:rsidRPr="00DD59EA">
        <w:rPr>
          <w:rFonts w:ascii="Palatino Linotype" w:hAnsi="Palatino Linotype" w:cs="Arial"/>
        </w:rPr>
        <w:t xml:space="preserve">mil diecinueve, los Comisionados, atento a lo dispuesto en el artículo 185, fracciones I, II y IV de la </w:t>
      </w:r>
      <w:r w:rsidRPr="00DD59EA">
        <w:rPr>
          <w:rFonts w:ascii="Palatino Linotype" w:hAnsi="Palatino Linotype"/>
        </w:rPr>
        <w:t xml:space="preserve">Ley de Transparencia y Acceso a </w:t>
      </w:r>
      <w:r w:rsidRPr="00DD59EA">
        <w:rPr>
          <w:rFonts w:ascii="Palatino Linotype" w:hAnsi="Palatino Linotype"/>
        </w:rPr>
        <w:lastRenderedPageBreak/>
        <w:t>la Información Pública del Estado de México y Municipios, a</w:t>
      </w:r>
      <w:r w:rsidRPr="00DD59EA">
        <w:rPr>
          <w:rFonts w:ascii="Palatino Linotype" w:hAnsi="Palatino Linotype" w:cs="Arial"/>
        </w:rPr>
        <w:t>cordaron la admisión a trámite de los referidos recursos de revisión, así como, la integración de los expedientes respectivos, mismo que se pusieron a disposición de las partes, para que en un plazo máximo de siete días hábiles, realizaran manifestaciones y ofrecieran las pruebas y alegatos que a su derecho conviniera o exhibieran los Informes Justificados, según fuera el caso.</w:t>
      </w:r>
    </w:p>
    <w:p w:rsidR="002A4CEC" w:rsidRPr="00DD59EA" w:rsidRDefault="00173A9B" w:rsidP="00DA47BB">
      <w:pPr>
        <w:pStyle w:val="Prrafodelista"/>
        <w:spacing w:before="100" w:beforeAutospacing="1" w:after="100" w:afterAutospacing="1" w:line="360" w:lineRule="auto"/>
        <w:ind w:left="0"/>
        <w:contextualSpacing w:val="0"/>
        <w:jc w:val="both"/>
        <w:rPr>
          <w:rFonts w:ascii="Palatino Linotype" w:hAnsi="Palatino Linotype" w:cs="Arial"/>
          <w:bCs/>
        </w:rPr>
      </w:pPr>
      <w:r w:rsidRPr="00DD59EA">
        <w:rPr>
          <w:rFonts w:ascii="Palatino Linotype" w:hAnsi="Palatino Linotype" w:cs="Arial"/>
          <w:b/>
          <w:noProof/>
          <w:sz w:val="28"/>
          <w:szCs w:val="28"/>
          <w:lang w:eastAsia="es-MX"/>
        </w:rPr>
        <mc:AlternateContent>
          <mc:Choice Requires="wps">
            <w:drawing>
              <wp:anchor distT="0" distB="0" distL="114300" distR="114300" simplePos="0" relativeHeight="251661312" behindDoc="0" locked="0" layoutInCell="1" allowOverlap="1">
                <wp:simplePos x="0" y="0"/>
                <wp:positionH relativeFrom="column">
                  <wp:posOffset>45687</wp:posOffset>
                </wp:positionH>
                <wp:positionV relativeFrom="paragraph">
                  <wp:posOffset>3348668</wp:posOffset>
                </wp:positionV>
                <wp:extent cx="5734821" cy="2108934"/>
                <wp:effectExtent l="0" t="0" r="37465" b="24765"/>
                <wp:wrapNone/>
                <wp:docPr id="3" name="Conector recto 3"/>
                <wp:cNvGraphicFramePr/>
                <a:graphic xmlns:a="http://schemas.openxmlformats.org/drawingml/2006/main">
                  <a:graphicData uri="http://schemas.microsoft.com/office/word/2010/wordprocessingShape">
                    <wps:wsp>
                      <wps:cNvCnPr/>
                      <wps:spPr>
                        <a:xfrm>
                          <a:off x="0" y="0"/>
                          <a:ext cx="5734821" cy="2108934"/>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E703F7" id="Conector rec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263.65pt" to="455.15pt,4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" strokecolor="#5b9bd5 [3204]" strokeweight="1.5pt">
                <v:stroke joinstyle="miter"/>
              </v:line>
            </w:pict>
          </mc:Fallback>
        </mc:AlternateContent>
      </w:r>
      <w:r w:rsidR="005E2458" w:rsidRPr="00DD59EA">
        <w:rPr>
          <w:rFonts w:ascii="Palatino Linotype" w:hAnsi="Palatino Linotype" w:cs="Arial"/>
          <w:b/>
          <w:sz w:val="28"/>
          <w:szCs w:val="28"/>
        </w:rPr>
        <w:t>V</w:t>
      </w:r>
      <w:r w:rsidR="007E6FDA" w:rsidRPr="00DD59EA">
        <w:rPr>
          <w:rFonts w:ascii="Palatino Linotype" w:hAnsi="Palatino Linotype" w:cs="Arial"/>
          <w:b/>
          <w:sz w:val="28"/>
          <w:szCs w:val="28"/>
        </w:rPr>
        <w:t>II</w:t>
      </w:r>
      <w:r w:rsidR="005E2458" w:rsidRPr="00DD59EA">
        <w:rPr>
          <w:rFonts w:ascii="Palatino Linotype" w:hAnsi="Palatino Linotype" w:cs="Arial"/>
          <w:b/>
          <w:sz w:val="28"/>
          <w:szCs w:val="28"/>
        </w:rPr>
        <w:t>I.</w:t>
      </w:r>
      <w:r w:rsidR="005E2458" w:rsidRPr="00DD59EA">
        <w:rPr>
          <w:rFonts w:ascii="Palatino Linotype" w:hAnsi="Palatino Linotype" w:cs="Arial"/>
        </w:rPr>
        <w:t xml:space="preserve"> De las constancias que obran en el </w:t>
      </w:r>
      <w:r w:rsidR="005E2458" w:rsidRPr="00DD59EA">
        <w:rPr>
          <w:rFonts w:ascii="Palatino Linotype" w:hAnsi="Palatino Linotype" w:cs="Arial"/>
          <w:b/>
        </w:rPr>
        <w:t>SAIMEX</w:t>
      </w:r>
      <w:r w:rsidR="005E2458" w:rsidRPr="00DD59EA">
        <w:rPr>
          <w:rFonts w:ascii="Palatino Linotype" w:hAnsi="Palatino Linotype" w:cs="Arial"/>
        </w:rPr>
        <w:t>, se desprende que dentro del</w:t>
      </w:r>
      <w:r w:rsidR="00477541" w:rsidRPr="00DD59EA">
        <w:rPr>
          <w:rFonts w:ascii="Palatino Linotype" w:hAnsi="Palatino Linotype" w:cs="Arial"/>
        </w:rPr>
        <w:t xml:space="preserve"> término concedido a las partes; </w:t>
      </w:r>
      <w:r w:rsidRPr="00DD59EA">
        <w:rPr>
          <w:rFonts w:ascii="Palatino Linotype" w:hAnsi="Palatino Linotype" w:cs="Arial"/>
          <w:b/>
        </w:rPr>
        <w:t>LA</w:t>
      </w:r>
      <w:r w:rsidR="002A4CEC" w:rsidRPr="00DD59EA">
        <w:rPr>
          <w:rFonts w:ascii="Palatino Linotype" w:hAnsi="Palatino Linotype" w:cs="Arial"/>
          <w:b/>
        </w:rPr>
        <w:t xml:space="preserve"> RECURRENTE </w:t>
      </w:r>
      <w:r w:rsidRPr="00DD59EA">
        <w:rPr>
          <w:rFonts w:ascii="Palatino Linotype" w:hAnsi="Palatino Linotype" w:cs="Arial"/>
        </w:rPr>
        <w:t>fue omisa</w:t>
      </w:r>
      <w:r w:rsidR="002A4CEC" w:rsidRPr="00DD59EA">
        <w:rPr>
          <w:rFonts w:ascii="Palatino Linotype" w:hAnsi="Palatino Linotype" w:cs="Arial"/>
        </w:rPr>
        <w:t xml:space="preserve"> en realizar manifestaciones y ofrecer </w:t>
      </w:r>
      <w:r w:rsidR="00477541" w:rsidRPr="00DD59EA">
        <w:rPr>
          <w:rFonts w:ascii="Palatino Linotype" w:hAnsi="Palatino Linotype" w:cs="Arial"/>
        </w:rPr>
        <w:t xml:space="preserve">las pruebas; así como, los </w:t>
      </w:r>
      <w:r w:rsidR="002A4CEC" w:rsidRPr="00DD59EA">
        <w:rPr>
          <w:rFonts w:ascii="Palatino Linotype" w:hAnsi="Palatino Linotype" w:cs="Arial"/>
        </w:rPr>
        <w:t>alegatos que a su de</w:t>
      </w:r>
      <w:r w:rsidR="00477541" w:rsidRPr="00DD59EA">
        <w:rPr>
          <w:rFonts w:ascii="Palatino Linotype" w:hAnsi="Palatino Linotype" w:cs="Arial"/>
        </w:rPr>
        <w:t>recho convinieran;</w:t>
      </w:r>
      <w:r w:rsidR="002A4CEC" w:rsidRPr="00DD59EA">
        <w:rPr>
          <w:rFonts w:ascii="Palatino Linotype" w:hAnsi="Palatino Linotype" w:cs="Arial"/>
        </w:rPr>
        <w:t xml:space="preserve"> por su parte</w:t>
      </w:r>
      <w:r w:rsidR="00477541" w:rsidRPr="00DD59EA">
        <w:rPr>
          <w:rFonts w:ascii="Palatino Linotype" w:hAnsi="Palatino Linotype" w:cs="Arial"/>
        </w:rPr>
        <w:t>,</w:t>
      </w:r>
      <w:r w:rsidR="002A4CEC" w:rsidRPr="00DD59EA">
        <w:rPr>
          <w:rFonts w:ascii="Palatino Linotype" w:hAnsi="Palatino Linotype" w:cs="Arial"/>
        </w:rPr>
        <w:t xml:space="preserve"> </w:t>
      </w:r>
      <w:r w:rsidR="005E2458" w:rsidRPr="00DD59EA">
        <w:rPr>
          <w:rFonts w:ascii="Palatino Linotype" w:hAnsi="Palatino Linotype" w:cs="Arial"/>
          <w:b/>
        </w:rPr>
        <w:t xml:space="preserve">EL SUJETO OBLIGADO </w:t>
      </w:r>
      <w:r w:rsidR="002A4CEC" w:rsidRPr="00DD59EA">
        <w:rPr>
          <w:rFonts w:ascii="Palatino Linotype" w:hAnsi="Palatino Linotype" w:cs="Arial"/>
        </w:rPr>
        <w:t xml:space="preserve">en fecha veinticinco de febrero de dos mil diecinueve, </w:t>
      </w:r>
      <w:r w:rsidR="005E2458" w:rsidRPr="00DD59EA">
        <w:rPr>
          <w:rFonts w:ascii="Palatino Linotype" w:hAnsi="Palatino Linotype" w:cs="Arial"/>
        </w:rPr>
        <w:t>r</w:t>
      </w:r>
      <w:r w:rsidR="002A4CEC" w:rsidRPr="00DD59EA">
        <w:rPr>
          <w:rFonts w:ascii="Palatino Linotype" w:hAnsi="Palatino Linotype" w:cs="Arial"/>
        </w:rPr>
        <w:t xml:space="preserve">indió </w:t>
      </w:r>
      <w:r w:rsidR="005E2458" w:rsidRPr="00DD59EA">
        <w:rPr>
          <w:rFonts w:ascii="Palatino Linotype" w:hAnsi="Palatino Linotype" w:cs="Arial"/>
        </w:rPr>
        <w:t>los Informes Justificados correspondientes</w:t>
      </w:r>
      <w:r w:rsidR="002A4CEC" w:rsidRPr="00DD59EA">
        <w:rPr>
          <w:rFonts w:ascii="Palatino Linotype" w:hAnsi="Palatino Linotype" w:cs="Arial"/>
        </w:rPr>
        <w:t>; sin embargo al ratificar sus respuesta</w:t>
      </w:r>
      <w:r w:rsidR="00D075BC" w:rsidRPr="00DD59EA">
        <w:rPr>
          <w:rFonts w:ascii="Palatino Linotype" w:hAnsi="Palatino Linotype" w:cs="Arial"/>
        </w:rPr>
        <w:t>s</w:t>
      </w:r>
      <w:r w:rsidR="002A4CEC" w:rsidRPr="00DD59EA">
        <w:rPr>
          <w:rFonts w:ascii="Palatino Linotype" w:hAnsi="Palatino Linotype" w:cs="Arial"/>
        </w:rPr>
        <w:t xml:space="preserve"> no fueron puestos a disposición de</w:t>
      </w:r>
      <w:r w:rsidR="00D075BC" w:rsidRPr="00DD59EA">
        <w:rPr>
          <w:rFonts w:ascii="Palatino Linotype" w:hAnsi="Palatino Linotype" w:cs="Arial"/>
        </w:rPr>
        <w:t xml:space="preserve"> </w:t>
      </w:r>
      <w:r w:rsidR="002A4CEC" w:rsidRPr="00DD59EA">
        <w:rPr>
          <w:rFonts w:ascii="Palatino Linotype" w:hAnsi="Palatino Linotype" w:cs="Arial"/>
        </w:rPr>
        <w:t>l</w:t>
      </w:r>
      <w:r w:rsidR="00D075BC" w:rsidRPr="00DD59EA">
        <w:rPr>
          <w:rFonts w:ascii="Palatino Linotype" w:hAnsi="Palatino Linotype" w:cs="Arial"/>
        </w:rPr>
        <w:t>a</w:t>
      </w:r>
      <w:r w:rsidR="002A4CEC" w:rsidRPr="00DD59EA">
        <w:rPr>
          <w:rFonts w:ascii="Palatino Linotype" w:hAnsi="Palatino Linotype" w:cs="Arial"/>
        </w:rPr>
        <w:t xml:space="preserve"> solicitante,</w:t>
      </w:r>
      <w:r w:rsidR="00D075BC" w:rsidRPr="00DD59EA">
        <w:rPr>
          <w:rFonts w:ascii="Palatino Linotype" w:hAnsi="Palatino Linotype" w:cs="Arial"/>
        </w:rPr>
        <w:t xml:space="preserve"> al no actualizar el supuesto previsto en el artículo 185, fracción III de la Ley de Transparencia y Acceso a la Información Pública del Estado de México y </w:t>
      </w:r>
      <w:proofErr w:type="spellStart"/>
      <w:r w:rsidR="00D075BC" w:rsidRPr="00DD59EA">
        <w:rPr>
          <w:rFonts w:ascii="Palatino Linotype" w:hAnsi="Palatino Linotype" w:cs="Arial"/>
        </w:rPr>
        <w:t>Muncipios</w:t>
      </w:r>
      <w:proofErr w:type="spellEnd"/>
      <w:r w:rsidR="00D075BC" w:rsidRPr="00DD59EA">
        <w:rPr>
          <w:rFonts w:ascii="Palatino Linotype" w:hAnsi="Palatino Linotype" w:cs="Arial"/>
        </w:rPr>
        <w:t xml:space="preserve">; aunado a que, </w:t>
      </w:r>
      <w:r w:rsidR="002A4CEC" w:rsidRPr="00DD59EA">
        <w:rPr>
          <w:rFonts w:ascii="Palatino Linotype" w:hAnsi="Palatino Linotype" w:cs="Arial"/>
        </w:rPr>
        <w:t xml:space="preserve">el contenido de dichos Informes es </w:t>
      </w:r>
      <w:r w:rsidR="00531708" w:rsidRPr="00DD59EA">
        <w:rPr>
          <w:rFonts w:ascii="Palatino Linotype" w:hAnsi="Palatino Linotype" w:cs="Arial"/>
        </w:rPr>
        <w:t xml:space="preserve">análogo </w:t>
      </w:r>
      <w:r w:rsidR="002A4CEC" w:rsidRPr="00DD59EA">
        <w:rPr>
          <w:rFonts w:ascii="Palatino Linotype" w:hAnsi="Palatino Linotype" w:cs="Arial"/>
        </w:rPr>
        <w:t xml:space="preserve">y a fin de que sean del conocimiento de las partes se inserta únicamente el contenido del archivo electrónico rendido en el recurso de revisión número </w:t>
      </w:r>
      <w:r w:rsidR="002A4CEC" w:rsidRPr="00DD59EA">
        <w:rPr>
          <w:rFonts w:ascii="Palatino Linotype" w:hAnsi="Palatino Linotype"/>
          <w:b/>
        </w:rPr>
        <w:t>00567</w:t>
      </w:r>
      <w:r w:rsidR="002A4CEC" w:rsidRPr="00DD59EA">
        <w:rPr>
          <w:rFonts w:ascii="Palatino Linotype" w:hAnsi="Palatino Linotype" w:cs="Arial"/>
          <w:b/>
          <w:bCs/>
        </w:rPr>
        <w:t>/INFOEM/IP/RR/201</w:t>
      </w:r>
      <w:r w:rsidRPr="00DD59EA">
        <w:rPr>
          <w:rFonts w:ascii="Palatino Linotype" w:hAnsi="Palatino Linotype" w:cs="Arial"/>
          <w:b/>
          <w:bCs/>
        </w:rPr>
        <w:t xml:space="preserve">9, </w:t>
      </w:r>
      <w:r w:rsidRPr="00DD59EA">
        <w:rPr>
          <w:rFonts w:ascii="Palatino Linotype" w:hAnsi="Palatino Linotype" w:cs="Arial"/>
          <w:bCs/>
        </w:rPr>
        <w:t>tal como se aprecia enseguida:</w:t>
      </w:r>
    </w:p>
    <w:p w:rsidR="002A4CEC" w:rsidRPr="00DD59EA" w:rsidRDefault="005C2CB9"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5C2CB9">
        <w:rPr>
          <w:noProof/>
          <w:lang w:eastAsia="es-MX"/>
        </w:rPr>
        <w:lastRenderedPageBreak/>
        <w:t xml:space="preserve"> </w:t>
      </w:r>
      <w:r>
        <w:rPr>
          <w:noProof/>
          <w:lang w:eastAsia="es-MX"/>
        </w:rPr>
        <w:drawing>
          <wp:inline distT="0" distB="0" distL="0" distR="0" wp14:anchorId="307851FC" wp14:editId="3527812A">
            <wp:extent cx="5445415" cy="7333013"/>
            <wp:effectExtent l="0" t="0" r="317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601" t="20958" r="35003" b="11068"/>
                    <a:stretch/>
                  </pic:blipFill>
                  <pic:spPr bwMode="auto">
                    <a:xfrm>
                      <a:off x="0" y="0"/>
                      <a:ext cx="5469261" cy="7365125"/>
                    </a:xfrm>
                    <a:prstGeom prst="rect">
                      <a:avLst/>
                    </a:prstGeom>
                    <a:ln>
                      <a:noFill/>
                    </a:ln>
                    <a:extLst>
                      <a:ext uri="{53640926-AAD7-44D8-BBD7-CCE9431645EC}">
                        <a14:shadowObscured xmlns:a14="http://schemas.microsoft.com/office/drawing/2010/main"/>
                      </a:ext>
                    </a:extLst>
                  </pic:spPr>
                </pic:pic>
              </a:graphicData>
            </a:graphic>
          </wp:inline>
        </w:drawing>
      </w:r>
    </w:p>
    <w:p w:rsidR="002A4CEC" w:rsidRPr="00DD59EA" w:rsidRDefault="005C2CB9" w:rsidP="00DA47BB">
      <w:pPr>
        <w:pStyle w:val="Prrafodelista"/>
        <w:spacing w:before="100" w:beforeAutospacing="1" w:after="100" w:afterAutospacing="1" w:line="360" w:lineRule="auto"/>
        <w:ind w:left="0"/>
        <w:contextualSpacing w:val="0"/>
        <w:jc w:val="center"/>
        <w:rPr>
          <w:rFonts w:ascii="Palatino Linotype" w:hAnsi="Palatino Linotype" w:cs="Arial"/>
        </w:rPr>
      </w:pPr>
      <w:bookmarkStart w:id="0" w:name="_GoBack"/>
      <w:r>
        <w:rPr>
          <w:noProof/>
          <w:lang w:eastAsia="es-MX"/>
        </w:rPr>
        <w:lastRenderedPageBreak/>
        <w:drawing>
          <wp:inline distT="0" distB="0" distL="0" distR="0" wp14:anchorId="18E468EA" wp14:editId="3226C479">
            <wp:extent cx="5578853" cy="7249886"/>
            <wp:effectExtent l="0" t="0" r="3175" b="8255"/>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6298" t="23149" r="34594" b="9610"/>
                    <a:stretch/>
                  </pic:blipFill>
                  <pic:spPr bwMode="auto">
                    <a:xfrm>
                      <a:off x="0" y="0"/>
                      <a:ext cx="5598571" cy="7275511"/>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2A4CEC" w:rsidRPr="00DD59EA" w:rsidRDefault="002A4CEC"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DD59EA">
        <w:rPr>
          <w:noProof/>
          <w:lang w:eastAsia="es-MX"/>
        </w:rPr>
        <w:lastRenderedPageBreak/>
        <w:drawing>
          <wp:inline distT="0" distB="0" distL="0" distR="0" wp14:anchorId="09D72F11" wp14:editId="21D44892">
            <wp:extent cx="5123256" cy="6863024"/>
            <wp:effectExtent l="0" t="0" r="127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573" t="12337" r="33466" b="9176"/>
                    <a:stretch/>
                  </pic:blipFill>
                  <pic:spPr bwMode="auto">
                    <a:xfrm>
                      <a:off x="0" y="0"/>
                      <a:ext cx="5137264" cy="6881789"/>
                    </a:xfrm>
                    <a:prstGeom prst="rect">
                      <a:avLst/>
                    </a:prstGeom>
                    <a:ln>
                      <a:noFill/>
                    </a:ln>
                    <a:extLst>
                      <a:ext uri="{53640926-AAD7-44D8-BBD7-CCE9431645EC}">
                        <a14:shadowObscured xmlns:a14="http://schemas.microsoft.com/office/drawing/2010/main"/>
                      </a:ext>
                    </a:extLst>
                  </pic:spPr>
                </pic:pic>
              </a:graphicData>
            </a:graphic>
          </wp:inline>
        </w:drawing>
      </w:r>
    </w:p>
    <w:p w:rsidR="002A4CEC" w:rsidRPr="00DD59EA" w:rsidRDefault="002A4CEC"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DD59EA">
        <w:rPr>
          <w:noProof/>
          <w:lang w:eastAsia="es-MX"/>
        </w:rPr>
        <w:lastRenderedPageBreak/>
        <w:drawing>
          <wp:inline distT="0" distB="0" distL="0" distR="0" wp14:anchorId="1105F2B7" wp14:editId="38E383D4">
            <wp:extent cx="5246624" cy="7124281"/>
            <wp:effectExtent l="0" t="0" r="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3894" t="8765" r="32829" b="11299"/>
                    <a:stretch/>
                  </pic:blipFill>
                  <pic:spPr bwMode="auto">
                    <a:xfrm>
                      <a:off x="0" y="0"/>
                      <a:ext cx="5263467" cy="7147152"/>
                    </a:xfrm>
                    <a:prstGeom prst="rect">
                      <a:avLst/>
                    </a:prstGeom>
                    <a:ln>
                      <a:noFill/>
                    </a:ln>
                    <a:extLst>
                      <a:ext uri="{53640926-AAD7-44D8-BBD7-CCE9431645EC}">
                        <a14:shadowObscured xmlns:a14="http://schemas.microsoft.com/office/drawing/2010/main"/>
                      </a:ext>
                    </a:extLst>
                  </pic:spPr>
                </pic:pic>
              </a:graphicData>
            </a:graphic>
          </wp:inline>
        </w:drawing>
      </w:r>
    </w:p>
    <w:p w:rsidR="002A4CEC" w:rsidRPr="00DD59EA" w:rsidRDefault="002A4CEC"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DD59EA">
        <w:rPr>
          <w:noProof/>
          <w:lang w:eastAsia="es-MX"/>
        </w:rPr>
        <w:lastRenderedPageBreak/>
        <w:drawing>
          <wp:inline distT="0" distB="0" distL="0" distR="0" wp14:anchorId="52F6FACB" wp14:editId="295ED565">
            <wp:extent cx="5114377" cy="7109209"/>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3837" t="8175" r="33900" b="12105"/>
                    <a:stretch/>
                  </pic:blipFill>
                  <pic:spPr bwMode="auto">
                    <a:xfrm>
                      <a:off x="0" y="0"/>
                      <a:ext cx="5130662" cy="7131845"/>
                    </a:xfrm>
                    <a:prstGeom prst="rect">
                      <a:avLst/>
                    </a:prstGeom>
                    <a:ln>
                      <a:noFill/>
                    </a:ln>
                    <a:extLst>
                      <a:ext uri="{53640926-AAD7-44D8-BBD7-CCE9431645EC}">
                        <a14:shadowObscured xmlns:a14="http://schemas.microsoft.com/office/drawing/2010/main"/>
                      </a:ext>
                    </a:extLst>
                  </pic:spPr>
                </pic:pic>
              </a:graphicData>
            </a:graphic>
          </wp:inline>
        </w:drawing>
      </w:r>
    </w:p>
    <w:p w:rsidR="002A4CEC" w:rsidRPr="00DD59EA" w:rsidRDefault="002A4CEC"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DD59EA">
        <w:rPr>
          <w:noProof/>
          <w:lang w:eastAsia="es-MX"/>
        </w:rPr>
        <w:lastRenderedPageBreak/>
        <w:drawing>
          <wp:inline distT="0" distB="0" distL="0" distR="0" wp14:anchorId="04D6A377" wp14:editId="2ED68599">
            <wp:extent cx="5199257" cy="7033846"/>
            <wp:effectExtent l="0" t="0" r="190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4098" t="17274" r="34420" b="7017"/>
                    <a:stretch/>
                  </pic:blipFill>
                  <pic:spPr bwMode="auto">
                    <a:xfrm>
                      <a:off x="0" y="0"/>
                      <a:ext cx="5215241" cy="7055469"/>
                    </a:xfrm>
                    <a:prstGeom prst="rect">
                      <a:avLst/>
                    </a:prstGeom>
                    <a:ln>
                      <a:noFill/>
                    </a:ln>
                    <a:extLst>
                      <a:ext uri="{53640926-AAD7-44D8-BBD7-CCE9431645EC}">
                        <a14:shadowObscured xmlns:a14="http://schemas.microsoft.com/office/drawing/2010/main"/>
                      </a:ext>
                    </a:extLst>
                  </pic:spPr>
                </pic:pic>
              </a:graphicData>
            </a:graphic>
          </wp:inline>
        </w:drawing>
      </w:r>
    </w:p>
    <w:p w:rsidR="002A4CEC" w:rsidRPr="00DD59EA" w:rsidRDefault="002A4CEC"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DD59EA">
        <w:rPr>
          <w:noProof/>
          <w:lang w:eastAsia="es-MX"/>
        </w:rPr>
        <w:lastRenderedPageBreak/>
        <w:drawing>
          <wp:inline distT="0" distB="0" distL="0" distR="0" wp14:anchorId="6C5BD573" wp14:editId="275DB967">
            <wp:extent cx="5005572" cy="6958484"/>
            <wp:effectExtent l="0" t="0" r="508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3404" t="14034" r="33900" b="5166"/>
                    <a:stretch/>
                  </pic:blipFill>
                  <pic:spPr bwMode="auto">
                    <a:xfrm>
                      <a:off x="0" y="0"/>
                      <a:ext cx="5018139" cy="6975954"/>
                    </a:xfrm>
                    <a:prstGeom prst="rect">
                      <a:avLst/>
                    </a:prstGeom>
                    <a:ln>
                      <a:noFill/>
                    </a:ln>
                    <a:extLst>
                      <a:ext uri="{53640926-AAD7-44D8-BBD7-CCE9431645EC}">
                        <a14:shadowObscured xmlns:a14="http://schemas.microsoft.com/office/drawing/2010/main"/>
                      </a:ext>
                    </a:extLst>
                  </pic:spPr>
                </pic:pic>
              </a:graphicData>
            </a:graphic>
          </wp:inline>
        </w:drawing>
      </w:r>
    </w:p>
    <w:p w:rsidR="009E4C6B" w:rsidRPr="00DD59EA" w:rsidRDefault="009E4C6B" w:rsidP="00DA47BB">
      <w:pPr>
        <w:pStyle w:val="Prrafodelista"/>
        <w:spacing w:before="100" w:beforeAutospacing="1" w:after="100" w:afterAutospacing="1" w:line="360" w:lineRule="auto"/>
        <w:ind w:left="0"/>
        <w:contextualSpacing w:val="0"/>
        <w:jc w:val="center"/>
        <w:rPr>
          <w:rFonts w:ascii="Palatino Linotype" w:hAnsi="Palatino Linotype" w:cs="Arial"/>
        </w:rPr>
      </w:pPr>
      <w:r w:rsidRPr="00DD59EA">
        <w:rPr>
          <w:noProof/>
          <w:lang w:eastAsia="es-MX"/>
        </w:rPr>
        <w:lastRenderedPageBreak/>
        <w:drawing>
          <wp:inline distT="0" distB="0" distL="0" distR="0" wp14:anchorId="11DC1F70" wp14:editId="0F39B156">
            <wp:extent cx="5052191" cy="7229789"/>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010" t="11874" r="34160" b="7157"/>
                    <a:stretch/>
                  </pic:blipFill>
                  <pic:spPr bwMode="auto">
                    <a:xfrm>
                      <a:off x="0" y="0"/>
                      <a:ext cx="5070565" cy="7256083"/>
                    </a:xfrm>
                    <a:prstGeom prst="rect">
                      <a:avLst/>
                    </a:prstGeom>
                    <a:ln>
                      <a:noFill/>
                    </a:ln>
                    <a:extLst>
                      <a:ext uri="{53640926-AAD7-44D8-BBD7-CCE9431645EC}">
                        <a14:shadowObscured xmlns:a14="http://schemas.microsoft.com/office/drawing/2010/main"/>
                      </a:ext>
                    </a:extLst>
                  </pic:spPr>
                </pic:pic>
              </a:graphicData>
            </a:graphic>
          </wp:inline>
        </w:drawing>
      </w:r>
    </w:p>
    <w:p w:rsidR="005E2458" w:rsidRPr="00DD59EA" w:rsidRDefault="005E2458" w:rsidP="00DA47BB">
      <w:pPr>
        <w:pStyle w:val="Prrafodelista"/>
        <w:spacing w:before="100" w:beforeAutospacing="1" w:after="100" w:afterAutospacing="1" w:line="360" w:lineRule="auto"/>
        <w:ind w:left="0"/>
        <w:contextualSpacing w:val="0"/>
        <w:jc w:val="both"/>
        <w:rPr>
          <w:rFonts w:ascii="Palatino Linotype" w:hAnsi="Palatino Linotype"/>
        </w:rPr>
      </w:pPr>
      <w:r w:rsidRPr="00DD59EA">
        <w:rPr>
          <w:rFonts w:ascii="Palatino Linotype" w:hAnsi="Palatino Linotype" w:cs="Arial"/>
          <w:b/>
          <w:sz w:val="28"/>
          <w:szCs w:val="28"/>
        </w:rPr>
        <w:lastRenderedPageBreak/>
        <w:t>I</w:t>
      </w:r>
      <w:r w:rsidR="007E6FDA" w:rsidRPr="00DD59EA">
        <w:rPr>
          <w:rFonts w:ascii="Palatino Linotype" w:hAnsi="Palatino Linotype" w:cs="Arial"/>
          <w:b/>
          <w:sz w:val="28"/>
          <w:szCs w:val="28"/>
        </w:rPr>
        <w:t>X</w:t>
      </w:r>
      <w:r w:rsidRPr="00DD59EA">
        <w:rPr>
          <w:rFonts w:ascii="Palatino Linotype" w:hAnsi="Palatino Linotype" w:cs="Arial"/>
          <w:b/>
          <w:sz w:val="28"/>
          <w:szCs w:val="28"/>
        </w:rPr>
        <w:t>.</w:t>
      </w:r>
      <w:r w:rsidRPr="00DD59EA">
        <w:rPr>
          <w:rFonts w:ascii="Palatino Linotype" w:hAnsi="Palatino Linotype" w:cs="Arial"/>
        </w:rPr>
        <w:t xml:space="preserve"> </w:t>
      </w:r>
      <w:r w:rsidRPr="00DD59EA">
        <w:rPr>
          <w:rFonts w:ascii="Palatino Linotype" w:hAnsi="Palatino Linotype" w:cs="Arial"/>
          <w:lang w:val="es-ES_tradnl"/>
        </w:rPr>
        <w:t xml:space="preserve">Por economía procesal y </w:t>
      </w:r>
      <w:r w:rsidRPr="00DD59EA">
        <w:rPr>
          <w:rFonts w:ascii="Palatino Linotype" w:hAnsi="Palatino Linotype" w:cs="Arial"/>
        </w:rPr>
        <w:t xml:space="preserve">con la finalidad de evitar resoluciones contradictorias, en </w:t>
      </w:r>
      <w:r w:rsidR="009E4C6B" w:rsidRPr="00DD59EA">
        <w:rPr>
          <w:rFonts w:ascii="Palatino Linotype" w:hAnsi="Palatino Linotype"/>
        </w:rPr>
        <w:t xml:space="preserve">la Séptima </w:t>
      </w:r>
      <w:r w:rsidRPr="00DD59EA">
        <w:rPr>
          <w:rFonts w:ascii="Palatino Linotype" w:hAnsi="Palatino Linotype"/>
        </w:rPr>
        <w:t>Sesión Ordinaria</w:t>
      </w:r>
      <w:r w:rsidR="00531708" w:rsidRPr="00DD59EA">
        <w:rPr>
          <w:rFonts w:ascii="Palatino Linotype" w:hAnsi="Palatino Linotype"/>
        </w:rPr>
        <w:t>,</w:t>
      </w:r>
      <w:r w:rsidRPr="00DD59EA">
        <w:rPr>
          <w:rFonts w:ascii="Palatino Linotype" w:hAnsi="Palatino Linotype"/>
        </w:rPr>
        <w:t xml:space="preserve"> de fecha </w:t>
      </w:r>
      <w:r w:rsidR="009E4C6B" w:rsidRPr="00DD59EA">
        <w:rPr>
          <w:rFonts w:ascii="Palatino Linotype" w:hAnsi="Palatino Linotype"/>
        </w:rPr>
        <w:t>veinte de febrero d</w:t>
      </w:r>
      <w:r w:rsidRPr="00DD59EA">
        <w:rPr>
          <w:rFonts w:ascii="Palatino Linotype" w:hAnsi="Palatino Linotype"/>
        </w:rPr>
        <w:t xml:space="preserve">e dos mil diecinueve, el Pleno de este Instituto </w:t>
      </w:r>
      <w:r w:rsidRPr="00DD59EA">
        <w:rPr>
          <w:rFonts w:ascii="Palatino Linotype" w:hAnsi="Palatino Linotype" w:cs="Arial"/>
        </w:rPr>
        <w:t xml:space="preserve">determinó </w:t>
      </w:r>
      <w:r w:rsidRPr="00DD59EA">
        <w:rPr>
          <w:rFonts w:ascii="Palatino Linotype" w:hAnsi="Palatino Linotype"/>
        </w:rPr>
        <w:t xml:space="preserve">acumular el recurso de revisión </w:t>
      </w:r>
      <w:r w:rsidR="009E4C6B" w:rsidRPr="00DD59EA">
        <w:rPr>
          <w:rFonts w:ascii="Palatino Linotype" w:hAnsi="Palatino Linotype" w:cs="Arial"/>
          <w:b/>
          <w:bCs/>
        </w:rPr>
        <w:t>00568</w:t>
      </w:r>
      <w:r w:rsidRPr="00DD59EA">
        <w:rPr>
          <w:rFonts w:ascii="Palatino Linotype" w:hAnsi="Palatino Linotype" w:cs="Arial"/>
          <w:b/>
          <w:bCs/>
        </w:rPr>
        <w:t>/INFOEM/IP/RR/201</w:t>
      </w:r>
      <w:r w:rsidR="009E4C6B" w:rsidRPr="00DD59EA">
        <w:rPr>
          <w:rFonts w:ascii="Palatino Linotype" w:hAnsi="Palatino Linotype" w:cs="Arial"/>
          <w:b/>
          <w:bCs/>
        </w:rPr>
        <w:t>9</w:t>
      </w:r>
      <w:r w:rsidRPr="00DD59EA">
        <w:rPr>
          <w:rFonts w:ascii="Palatino Linotype" w:hAnsi="Palatino Linotype" w:cs="Arial"/>
          <w:b/>
          <w:bCs/>
        </w:rPr>
        <w:t xml:space="preserve"> </w:t>
      </w:r>
      <w:r w:rsidRPr="00DD59EA">
        <w:rPr>
          <w:rFonts w:ascii="Palatino Linotype" w:hAnsi="Palatino Linotype" w:cs="Arial"/>
          <w:bCs/>
        </w:rPr>
        <w:t>al diverso</w:t>
      </w:r>
      <w:r w:rsidRPr="00DD59EA">
        <w:rPr>
          <w:rFonts w:ascii="Palatino Linotype" w:hAnsi="Palatino Linotype" w:cs="Arial"/>
          <w:b/>
          <w:bCs/>
        </w:rPr>
        <w:t xml:space="preserve"> </w:t>
      </w:r>
      <w:r w:rsidR="009E4C6B" w:rsidRPr="00DD59EA">
        <w:rPr>
          <w:rFonts w:ascii="Palatino Linotype" w:hAnsi="Palatino Linotype"/>
          <w:b/>
        </w:rPr>
        <w:t>00567</w:t>
      </w:r>
      <w:r w:rsidRPr="00DD59EA">
        <w:rPr>
          <w:rFonts w:ascii="Palatino Linotype" w:hAnsi="Palatino Linotype" w:cs="Arial"/>
          <w:b/>
          <w:bCs/>
        </w:rPr>
        <w:t>/INFOEM/IP/RR/201</w:t>
      </w:r>
      <w:r w:rsidR="009E4C6B" w:rsidRPr="00DD59EA">
        <w:rPr>
          <w:rFonts w:ascii="Palatino Linotype" w:hAnsi="Palatino Linotype" w:cs="Arial"/>
          <w:b/>
          <w:bCs/>
        </w:rPr>
        <w:t>9</w:t>
      </w:r>
      <w:r w:rsidRPr="00DD59EA">
        <w:rPr>
          <w:rFonts w:ascii="Palatino Linotype" w:hAnsi="Palatino Linotype"/>
        </w:rPr>
        <w:t xml:space="preserve">, acordando su resolución por parte de la Comisionada </w:t>
      </w:r>
      <w:r w:rsidRPr="00DD59EA">
        <w:rPr>
          <w:rFonts w:ascii="Palatino Linotype" w:hAnsi="Palatino Linotype"/>
          <w:b/>
        </w:rPr>
        <w:t>EVA ABAID YAPUR</w:t>
      </w:r>
      <w:r w:rsidRPr="00DD59EA">
        <w:rPr>
          <w:rFonts w:ascii="Palatino Linotype" w:hAnsi="Palatino Linotype" w:cs="Arial"/>
        </w:rPr>
        <w:t>.</w:t>
      </w:r>
    </w:p>
    <w:p w:rsidR="005E2458" w:rsidRPr="00DD59EA" w:rsidRDefault="007E6FDA" w:rsidP="00DA47BB">
      <w:pPr>
        <w:pStyle w:val="Prrafodelista"/>
        <w:spacing w:before="100" w:beforeAutospacing="1" w:after="100" w:afterAutospacing="1" w:line="360" w:lineRule="auto"/>
        <w:ind w:left="0"/>
        <w:contextualSpacing w:val="0"/>
        <w:jc w:val="both"/>
        <w:rPr>
          <w:rFonts w:ascii="Palatino Linotype" w:hAnsi="Palatino Linotype" w:cs="Arial"/>
        </w:rPr>
      </w:pPr>
      <w:r w:rsidRPr="00DD59EA">
        <w:rPr>
          <w:rFonts w:ascii="Palatino Linotype" w:hAnsi="Palatino Linotype" w:cs="Arial"/>
          <w:b/>
          <w:sz w:val="28"/>
          <w:szCs w:val="28"/>
        </w:rPr>
        <w:t>X</w:t>
      </w:r>
      <w:r w:rsidR="005E2458" w:rsidRPr="00DD59EA">
        <w:rPr>
          <w:rFonts w:ascii="Palatino Linotype" w:hAnsi="Palatino Linotype" w:cs="Arial"/>
          <w:b/>
          <w:sz w:val="28"/>
          <w:szCs w:val="28"/>
        </w:rPr>
        <w:t>.</w:t>
      </w:r>
      <w:r w:rsidR="005E2458" w:rsidRPr="00DD59EA">
        <w:rPr>
          <w:rFonts w:ascii="Palatino Linotype" w:hAnsi="Palatino Linotype" w:cs="Arial"/>
        </w:rPr>
        <w:t xml:space="preserve"> Una vez analizado el estado procesal que guardaban los expedientes, el </w:t>
      </w:r>
      <w:r w:rsidR="009E4C6B" w:rsidRPr="00DD59EA">
        <w:rPr>
          <w:rFonts w:ascii="Palatino Linotype" w:hAnsi="Palatino Linotype" w:cs="Arial"/>
        </w:rPr>
        <w:t xml:space="preserve">veintiséis de febrero </w:t>
      </w:r>
      <w:r w:rsidR="005E2458" w:rsidRPr="00DD59EA">
        <w:rPr>
          <w:rFonts w:ascii="Palatino Linotype" w:hAnsi="Palatino Linotype" w:cs="Arial"/>
        </w:rPr>
        <w:t xml:space="preserve">de dos mil diecinueve, la Comisionada Ponente acordó el cierre de instrucción; así como, la remisión del mismo a efecto de ser resuelto, de conformidad con lo establecido en el artículo 185, fracciones VI y VIII de la Ley de Transparencia y Acceso a la Información Pública del </w:t>
      </w:r>
      <w:r w:rsidR="00173A9B" w:rsidRPr="00DD59EA">
        <w:rPr>
          <w:rFonts w:ascii="Palatino Linotype" w:hAnsi="Palatino Linotype" w:cs="Arial"/>
        </w:rPr>
        <w:t>Estado de México y Municipios.</w:t>
      </w:r>
    </w:p>
    <w:p w:rsidR="00173A9B" w:rsidRPr="00DD59EA" w:rsidRDefault="00173A9B" w:rsidP="00DA47BB">
      <w:pPr>
        <w:pStyle w:val="Prrafodelista"/>
        <w:tabs>
          <w:tab w:val="left" w:pos="567"/>
        </w:tabs>
        <w:spacing w:before="100" w:beforeAutospacing="1" w:after="100" w:afterAutospacing="1" w:line="360" w:lineRule="auto"/>
        <w:ind w:left="0"/>
        <w:contextualSpacing w:val="0"/>
        <w:jc w:val="both"/>
        <w:rPr>
          <w:rFonts w:ascii="Palatino Linotype" w:hAnsi="Palatino Linotype"/>
          <w:b/>
          <w:sz w:val="28"/>
          <w:szCs w:val="28"/>
        </w:rPr>
      </w:pPr>
      <w:r w:rsidRPr="00DD59EA">
        <w:rPr>
          <w:rFonts w:ascii="Palatino Linotype" w:hAnsi="Palatino Linotype" w:cs="Arial"/>
          <w:b/>
          <w:sz w:val="28"/>
          <w:szCs w:val="28"/>
        </w:rPr>
        <w:t>X</w:t>
      </w:r>
      <w:r w:rsidR="007E6FDA" w:rsidRPr="00DD59EA">
        <w:rPr>
          <w:rFonts w:ascii="Palatino Linotype" w:hAnsi="Palatino Linotype" w:cs="Arial"/>
          <w:b/>
          <w:sz w:val="28"/>
          <w:szCs w:val="28"/>
        </w:rPr>
        <w:t>I</w:t>
      </w:r>
      <w:r w:rsidRPr="00DD59EA">
        <w:rPr>
          <w:rFonts w:ascii="Palatino Linotype" w:hAnsi="Palatino Linotype" w:cs="Arial"/>
          <w:b/>
          <w:sz w:val="28"/>
          <w:szCs w:val="28"/>
        </w:rPr>
        <w:t>.</w:t>
      </w:r>
      <w:r w:rsidRPr="00DD59EA">
        <w:rPr>
          <w:rFonts w:ascii="Palatino Linotype" w:hAnsi="Palatino Linotype" w:cs="Arial"/>
        </w:rPr>
        <w:t xml:space="preserve"> En fecha uno de abril de dos mil diecinueve, la Comisionada Ponente acordó ampliar el plazo para resolver el recurso de revisión de mérito, por un periodo de hasta quince días hábiles, de conformidad con el artículo 181, tercer párrafo de la Ley de Transparencia y Acceso a la Información Pública del Estado de México y Municipios; y, </w:t>
      </w:r>
    </w:p>
    <w:p w:rsidR="005E2458" w:rsidRPr="00DD59EA" w:rsidRDefault="005E2458" w:rsidP="00DA47BB">
      <w:pPr>
        <w:spacing w:before="100" w:beforeAutospacing="1" w:after="100" w:afterAutospacing="1" w:line="360" w:lineRule="auto"/>
        <w:jc w:val="center"/>
        <w:rPr>
          <w:rFonts w:ascii="Palatino Linotype" w:hAnsi="Palatino Linotype"/>
          <w:b/>
          <w:bCs/>
          <w:spacing w:val="60"/>
          <w:sz w:val="28"/>
        </w:rPr>
      </w:pPr>
      <w:r w:rsidRPr="00DD59EA">
        <w:rPr>
          <w:rFonts w:ascii="Palatino Linotype" w:hAnsi="Palatino Linotype"/>
          <w:b/>
          <w:bCs/>
          <w:spacing w:val="60"/>
          <w:sz w:val="28"/>
        </w:rPr>
        <w:t>CONSIDERANDO</w:t>
      </w:r>
    </w:p>
    <w:p w:rsidR="005E2458" w:rsidRPr="00DD59EA" w:rsidRDefault="005E2458" w:rsidP="00DA47BB">
      <w:pPr>
        <w:pStyle w:val="Prrafodelista"/>
        <w:widowControl w:val="0"/>
        <w:autoSpaceDE w:val="0"/>
        <w:autoSpaceDN w:val="0"/>
        <w:adjustRightInd w:val="0"/>
        <w:spacing w:before="100" w:beforeAutospacing="1" w:after="100" w:afterAutospacing="1" w:line="360" w:lineRule="auto"/>
        <w:ind w:left="0"/>
        <w:contextualSpacing w:val="0"/>
        <w:jc w:val="both"/>
        <w:rPr>
          <w:rFonts w:ascii="Palatino Linotype" w:hAnsi="Palatino Linotype" w:cs="Arial"/>
        </w:rPr>
      </w:pPr>
      <w:r w:rsidRPr="00DD59EA">
        <w:rPr>
          <w:rFonts w:ascii="Palatino Linotype" w:hAnsi="Palatino Linotype"/>
          <w:b/>
          <w:sz w:val="28"/>
          <w:szCs w:val="28"/>
        </w:rPr>
        <w:t>PRIMERO.</w:t>
      </w:r>
      <w:r w:rsidRPr="00DD59EA">
        <w:rPr>
          <w:rFonts w:ascii="Palatino Linotype" w:hAnsi="Palatino Linotype"/>
        </w:rPr>
        <w:t xml:space="preserve"> </w:t>
      </w:r>
      <w:r w:rsidRPr="00DD59EA">
        <w:rPr>
          <w:rFonts w:ascii="Palatino Linotype" w:hAnsi="Palatino Linotype"/>
          <w:b/>
        </w:rPr>
        <w:t>Competencia</w:t>
      </w:r>
      <w:r w:rsidRPr="00DD59EA">
        <w:rPr>
          <w:rFonts w:ascii="Palatino Linotype" w:hAnsi="Palatino Linotype"/>
        </w:rPr>
        <w:t>.</w:t>
      </w:r>
      <w:r w:rsidRPr="00DD59EA">
        <w:rPr>
          <w:rFonts w:ascii="Palatino Linotype" w:hAnsi="Palatino Linotype"/>
          <w:b/>
        </w:rPr>
        <w:t xml:space="preserve"> </w:t>
      </w:r>
      <w:r w:rsidRPr="00DD59EA">
        <w:rPr>
          <w:rFonts w:ascii="Palatino Linotype" w:hAnsi="Palatino Linotype"/>
        </w:rPr>
        <w:t xml:space="preserve">Este Instituto de Transparencia, Acceso a la Información Pública y Protección de Datos Personales del Estado de México y Municipios, es competente para conocer y resolver el presente recurso, conforme a lo dispuesto en los artículos 6, apartado A de la Constitución Política de los Estados Unidos Mexicanos; 5, párrafos vigésimo, vigésimo primero, vigésimo segundo, fracciones IV y V de la </w:t>
      </w:r>
      <w:r w:rsidRPr="00DD59EA">
        <w:rPr>
          <w:rFonts w:ascii="Palatino Linotype" w:hAnsi="Palatino Linotype"/>
        </w:rPr>
        <w:lastRenderedPageBreak/>
        <w:t>Constitución Política del Estado Libre y Soberano de México; 1, 2, fracción II, 13, 29, 36, fracciones I y II, 176, 178, 179, 181, párrafo tercero y 185 de la Ley de Transparencia y Acceso a la Información Pública del Estado de México y Municipios</w:t>
      </w:r>
      <w:r w:rsidRPr="00DD59EA">
        <w:rPr>
          <w:rFonts w:ascii="Palatino Linotype" w:hAnsi="Palatino Linotype" w:cs="Arial"/>
        </w:rPr>
        <w:t xml:space="preserve">; </w:t>
      </w:r>
      <w:r w:rsidRPr="00DD59EA">
        <w:rPr>
          <w:rFonts w:ascii="Palatino Linotype" w:hAnsi="Palatino Linotype"/>
        </w:rPr>
        <w:t xml:space="preserve">9, fracciones I, XXIV y 11 </w:t>
      </w:r>
      <w:r w:rsidRPr="00DD59EA">
        <w:rPr>
          <w:rFonts w:ascii="Palatino Linotype" w:hAnsi="Palatino Linotype" w:cs="Arial"/>
        </w:rPr>
        <w:t>del Reglamento Interior del Instituto de Transparencia, Acceso a la Información Pública y Protección de Datos Personales del Estado de México y Municipios; toda vez que se trata de recursos de revisión interpuestos por un</w:t>
      </w:r>
      <w:r w:rsidR="009E4C6B" w:rsidRPr="00DD59EA">
        <w:rPr>
          <w:rFonts w:ascii="Palatino Linotype" w:hAnsi="Palatino Linotype" w:cs="Arial"/>
        </w:rPr>
        <w:t>a</w:t>
      </w:r>
      <w:r w:rsidRPr="00DD59EA">
        <w:rPr>
          <w:rFonts w:ascii="Palatino Linotype" w:hAnsi="Palatino Linotype" w:cs="Arial"/>
        </w:rPr>
        <w:t xml:space="preserve"> Ciudadan</w:t>
      </w:r>
      <w:r w:rsidR="009E4C6B" w:rsidRPr="00DD59EA">
        <w:rPr>
          <w:rFonts w:ascii="Palatino Linotype" w:hAnsi="Palatino Linotype" w:cs="Arial"/>
        </w:rPr>
        <w:t>a</w:t>
      </w:r>
      <w:r w:rsidRPr="00DD59EA">
        <w:rPr>
          <w:rFonts w:ascii="Palatino Linotype" w:hAnsi="Palatino Linotype" w:cs="Arial"/>
        </w:rPr>
        <w:t xml:space="preserve"> en ejercicio de su derecho de acceso a la información pública, en términos de la Ley de la materia.</w:t>
      </w:r>
    </w:p>
    <w:p w:rsidR="005E2458" w:rsidRPr="00DD59EA" w:rsidRDefault="005E2458" w:rsidP="00DA47BB">
      <w:pPr>
        <w:pStyle w:val="Prrafodelista"/>
        <w:widowControl w:val="0"/>
        <w:autoSpaceDE w:val="0"/>
        <w:autoSpaceDN w:val="0"/>
        <w:adjustRightInd w:val="0"/>
        <w:spacing w:before="100" w:beforeAutospacing="1" w:after="100" w:afterAutospacing="1" w:line="360" w:lineRule="auto"/>
        <w:ind w:left="0" w:right="49"/>
        <w:contextualSpacing w:val="0"/>
        <w:jc w:val="both"/>
        <w:rPr>
          <w:rFonts w:ascii="Palatino Linotype" w:hAnsi="Palatino Linotype" w:cs="Arial"/>
        </w:rPr>
      </w:pPr>
      <w:r w:rsidRPr="00DD59EA">
        <w:rPr>
          <w:rFonts w:ascii="Palatino Linotype" w:hAnsi="Palatino Linotype" w:cs="Arial"/>
          <w:b/>
          <w:sz w:val="28"/>
          <w:szCs w:val="28"/>
        </w:rPr>
        <w:t>SEGUNDO.</w:t>
      </w:r>
      <w:r w:rsidRPr="00DD59EA">
        <w:rPr>
          <w:rFonts w:ascii="Palatino Linotype" w:hAnsi="Palatino Linotype" w:cs="Arial"/>
          <w:b/>
        </w:rPr>
        <w:t xml:space="preserve"> Interés.</w:t>
      </w:r>
      <w:r w:rsidRPr="00DD59EA">
        <w:rPr>
          <w:rFonts w:ascii="Palatino Linotype" w:hAnsi="Palatino Linotype" w:cs="Arial"/>
        </w:rPr>
        <w:t xml:space="preserve"> Los recursos de revisión se interpusieron por parte legítima en atención a que fueron presentados por </w:t>
      </w:r>
      <w:r w:rsidR="009E4C6B" w:rsidRPr="00DD59EA">
        <w:rPr>
          <w:rFonts w:ascii="Palatino Linotype" w:hAnsi="Palatino Linotype" w:cs="Arial"/>
          <w:b/>
        </w:rPr>
        <w:t>LA</w:t>
      </w:r>
      <w:r w:rsidRPr="00DD59EA">
        <w:rPr>
          <w:rFonts w:ascii="Palatino Linotype" w:hAnsi="Palatino Linotype" w:cs="Arial"/>
          <w:b/>
        </w:rPr>
        <w:t xml:space="preserve"> RECURRENTE</w:t>
      </w:r>
      <w:r w:rsidRPr="00DD59EA">
        <w:rPr>
          <w:rFonts w:ascii="Palatino Linotype" w:hAnsi="Palatino Linotype" w:cs="Arial"/>
          <w:snapToGrid w:val="0"/>
        </w:rPr>
        <w:t xml:space="preserve">, quien </w:t>
      </w:r>
      <w:r w:rsidRPr="00DD59EA">
        <w:rPr>
          <w:rFonts w:ascii="Palatino Linotype" w:hAnsi="Palatino Linotype"/>
        </w:rPr>
        <w:t>es</w:t>
      </w:r>
      <w:r w:rsidRPr="00DD59EA">
        <w:rPr>
          <w:rFonts w:ascii="Palatino Linotype" w:hAnsi="Palatino Linotype" w:cs="Arial"/>
          <w:snapToGrid w:val="0"/>
        </w:rPr>
        <w:t xml:space="preserve"> la misma persona que formuló las solicitudes de acceso a la </w:t>
      </w:r>
      <w:r w:rsidRPr="00DD59EA">
        <w:rPr>
          <w:rFonts w:ascii="Palatino Linotype" w:hAnsi="Palatino Linotype"/>
        </w:rPr>
        <w:t>información</w:t>
      </w:r>
      <w:r w:rsidRPr="00DD59EA">
        <w:rPr>
          <w:rFonts w:ascii="Palatino Linotype" w:hAnsi="Palatino Linotype" w:cs="Arial"/>
          <w:snapToGrid w:val="0"/>
        </w:rPr>
        <w:t xml:space="preserve"> pública al</w:t>
      </w:r>
      <w:r w:rsidRPr="00DD59EA">
        <w:rPr>
          <w:rFonts w:ascii="Palatino Linotype" w:hAnsi="Palatino Linotype" w:cs="Arial"/>
          <w:b/>
          <w:snapToGrid w:val="0"/>
        </w:rPr>
        <w:t xml:space="preserve"> SUJETO OBLIGADO</w:t>
      </w:r>
      <w:r w:rsidRPr="00DD59EA">
        <w:rPr>
          <w:rFonts w:ascii="Palatino Linotype" w:hAnsi="Palatino Linotype" w:cs="Arial"/>
        </w:rPr>
        <w:t>.</w:t>
      </w:r>
    </w:p>
    <w:p w:rsidR="009E4C6B" w:rsidRPr="00DD59EA" w:rsidRDefault="009E4C6B" w:rsidP="00DA47BB">
      <w:pPr>
        <w:pStyle w:val="Prrafodelista"/>
        <w:widowControl w:val="0"/>
        <w:tabs>
          <w:tab w:val="left" w:pos="1701"/>
        </w:tabs>
        <w:autoSpaceDE w:val="0"/>
        <w:autoSpaceDN w:val="0"/>
        <w:adjustRightInd w:val="0"/>
        <w:spacing w:before="100" w:beforeAutospacing="1" w:after="100" w:afterAutospacing="1" w:line="360" w:lineRule="auto"/>
        <w:ind w:left="0" w:right="49"/>
        <w:contextualSpacing w:val="0"/>
        <w:jc w:val="both"/>
        <w:rPr>
          <w:rFonts w:ascii="Palatino Linotype" w:hAnsi="Palatino Linotype" w:cs="Arial"/>
          <w:color w:val="000000"/>
        </w:rPr>
      </w:pPr>
      <w:r w:rsidRPr="00DD59EA">
        <w:rPr>
          <w:rFonts w:ascii="Palatino Linotype" w:hAnsi="Palatino Linotype" w:cs="Arial"/>
          <w:b/>
          <w:sz w:val="28"/>
          <w:szCs w:val="28"/>
        </w:rPr>
        <w:t xml:space="preserve">TERCERO. </w:t>
      </w:r>
      <w:r w:rsidRPr="00DD59EA">
        <w:rPr>
          <w:rFonts w:ascii="Palatino Linotype" w:hAnsi="Palatino Linotype" w:cs="Arial"/>
          <w:b/>
          <w:color w:val="000000"/>
        </w:rPr>
        <w:t>Justificación de la Acumulación de los Recursos.</w:t>
      </w:r>
      <w:r w:rsidRPr="00DD59EA">
        <w:rPr>
          <w:rFonts w:ascii="Palatino Linotype" w:hAnsi="Palatino Linotype" w:cs="Arial"/>
          <w:color w:val="000000"/>
        </w:rPr>
        <w:t xml:space="preserve"> De las constancias que obran en los expedientes, se advierte que los recursos de revisión</w:t>
      </w:r>
      <w:r w:rsidRPr="00DD59EA">
        <w:rPr>
          <w:rFonts w:ascii="Palatino Linotype" w:hAnsi="Palatino Linotype" w:cs="Arial"/>
          <w:b/>
        </w:rPr>
        <w:t xml:space="preserve"> 00567/</w:t>
      </w:r>
      <w:r w:rsidR="004A463E" w:rsidRPr="00DD59EA">
        <w:rPr>
          <w:rFonts w:ascii="Palatino Linotype" w:hAnsi="Palatino Linotype" w:cs="Arial"/>
          <w:b/>
          <w:bCs/>
        </w:rPr>
        <w:t xml:space="preserve">INFOEM/IP/RR/2019 </w:t>
      </w:r>
      <w:r w:rsidRPr="00DD59EA">
        <w:rPr>
          <w:rFonts w:ascii="Palatino Linotype" w:hAnsi="Palatino Linotype" w:cs="Arial"/>
          <w:bCs/>
        </w:rPr>
        <w:t xml:space="preserve">y </w:t>
      </w:r>
      <w:r w:rsidRPr="00DD59EA">
        <w:rPr>
          <w:rFonts w:ascii="Palatino Linotype" w:hAnsi="Palatino Linotype" w:cs="Arial"/>
          <w:b/>
        </w:rPr>
        <w:t>00568/</w:t>
      </w:r>
      <w:r w:rsidRPr="00DD59EA">
        <w:rPr>
          <w:rFonts w:ascii="Palatino Linotype" w:hAnsi="Palatino Linotype" w:cs="Arial"/>
          <w:b/>
          <w:bCs/>
        </w:rPr>
        <w:t xml:space="preserve">INFOEM/IP/RR/2019, </w:t>
      </w:r>
      <w:r w:rsidRPr="00DD59EA">
        <w:rPr>
          <w:rFonts w:ascii="Palatino Linotype" w:hAnsi="Palatino Linotype" w:cs="Arial"/>
          <w:color w:val="000000"/>
        </w:rPr>
        <w:t xml:space="preserve">fueron presentados por la misma </w:t>
      </w:r>
      <w:r w:rsidRPr="00DD59EA">
        <w:rPr>
          <w:rFonts w:ascii="Palatino Linotype" w:hAnsi="Palatino Linotype" w:cs="Arial"/>
          <w:b/>
          <w:color w:val="000000"/>
        </w:rPr>
        <w:t xml:space="preserve">RECURRENTE </w:t>
      </w:r>
      <w:r w:rsidRPr="00DD59EA">
        <w:rPr>
          <w:rFonts w:ascii="Palatino Linotype" w:hAnsi="Palatino Linotype" w:cs="Arial"/>
          <w:color w:val="000000"/>
        </w:rPr>
        <w:t xml:space="preserve">ante el mismo </w:t>
      </w:r>
      <w:r w:rsidRPr="00DD59EA">
        <w:rPr>
          <w:rFonts w:ascii="Palatino Linotype" w:hAnsi="Palatino Linotype" w:cs="Arial"/>
          <w:b/>
          <w:color w:val="000000"/>
        </w:rPr>
        <w:t>SUJETO OBLIGADO</w:t>
      </w:r>
      <w:r w:rsidRPr="00DD59EA">
        <w:rPr>
          <w:rFonts w:ascii="Palatino Linotype" w:hAnsi="Palatino Linotype" w:cs="Arial"/>
          <w:color w:val="000000"/>
        </w:rPr>
        <w:t>, aunado a que resulta conveniente su trámite de forma unificada por economía procesal y a fin de evitar la emisión de resoluciones contradictorias, en virtud de que la información solicitada se relaciona con el sueldo y l</w:t>
      </w:r>
      <w:r w:rsidR="00531708" w:rsidRPr="00DD59EA">
        <w:rPr>
          <w:rFonts w:ascii="Palatino Linotype" w:hAnsi="Palatino Linotype" w:cs="Arial"/>
          <w:color w:val="000000"/>
        </w:rPr>
        <w:t>as prestaciones percibidas por un</w:t>
      </w:r>
      <w:r w:rsidRPr="00DD59EA">
        <w:rPr>
          <w:rFonts w:ascii="Palatino Linotype" w:hAnsi="Palatino Linotype" w:cs="Arial"/>
          <w:color w:val="000000"/>
        </w:rPr>
        <w:t xml:space="preserve"> docente, es por lo que, fue procedente que este Órgano Garante decretara su acumulación, de conformidad con lo dispuesto en el artículo 18 del Código de Procedimientos Administrativos del Estado de México, de aplicación supletoria en términos del ordinal 195 de </w:t>
      </w:r>
      <w:r w:rsidRPr="00DD59EA">
        <w:rPr>
          <w:rFonts w:ascii="Palatino Linotype" w:hAnsi="Palatino Linotype"/>
        </w:rPr>
        <w:t xml:space="preserve">la Ley de Transparencia y Acceso a la Información Pública del Estado de México y Municipios, </w:t>
      </w:r>
      <w:r w:rsidRPr="00DD59EA">
        <w:rPr>
          <w:rFonts w:ascii="Palatino Linotype" w:hAnsi="Palatino Linotype"/>
        </w:rPr>
        <w:lastRenderedPageBreak/>
        <w:t>que a continuación se insertan:</w:t>
      </w:r>
    </w:p>
    <w:p w:rsidR="009E4C6B" w:rsidRPr="00DD59EA" w:rsidRDefault="009E4C6B" w:rsidP="00DA47BB">
      <w:pPr>
        <w:ind w:left="851" w:right="709"/>
        <w:jc w:val="center"/>
        <w:rPr>
          <w:rFonts w:ascii="Palatino Linotype" w:hAnsi="Palatino Linotype" w:cs="Arial"/>
          <w:b/>
          <w:i/>
          <w:sz w:val="22"/>
          <w:szCs w:val="22"/>
        </w:rPr>
      </w:pPr>
      <w:r w:rsidRPr="00DD59EA">
        <w:rPr>
          <w:rFonts w:ascii="Palatino Linotype" w:hAnsi="Palatino Linotype" w:cs="Arial"/>
          <w:b/>
          <w:i/>
          <w:sz w:val="22"/>
          <w:szCs w:val="22"/>
        </w:rPr>
        <w:t>“Código de Procedimientos Administrativos del Estado de México</w:t>
      </w:r>
    </w:p>
    <w:p w:rsidR="009E4C6B" w:rsidRPr="00DD59EA" w:rsidRDefault="009E4C6B" w:rsidP="00DA47BB">
      <w:pPr>
        <w:ind w:left="851" w:right="709"/>
        <w:jc w:val="center"/>
        <w:rPr>
          <w:rFonts w:ascii="Palatino Linotype" w:hAnsi="Palatino Linotype" w:cs="Arial"/>
          <w:b/>
          <w:i/>
          <w:sz w:val="22"/>
          <w:szCs w:val="22"/>
        </w:rPr>
      </w:pPr>
    </w:p>
    <w:p w:rsidR="009E4C6B" w:rsidRPr="00DD59EA" w:rsidRDefault="009E4C6B" w:rsidP="00DA47BB">
      <w:pPr>
        <w:ind w:left="851" w:right="709"/>
        <w:jc w:val="both"/>
        <w:rPr>
          <w:rFonts w:ascii="Palatino Linotype" w:hAnsi="Palatino Linotype" w:cs="Arial"/>
          <w:i/>
          <w:sz w:val="22"/>
          <w:szCs w:val="22"/>
        </w:rPr>
      </w:pPr>
      <w:r w:rsidRPr="00DD59EA">
        <w:rPr>
          <w:rFonts w:ascii="Palatino Linotype" w:hAnsi="Palatino Linotype" w:cs="Arial"/>
          <w:b/>
          <w:i/>
          <w:sz w:val="22"/>
          <w:szCs w:val="22"/>
        </w:rPr>
        <w:t>Artículo 18</w:t>
      </w:r>
      <w:r w:rsidRPr="00DD59EA">
        <w:rPr>
          <w:rFonts w:ascii="Palatino Linotype" w:hAnsi="Palatino Linotype" w:cs="Arial"/>
          <w:i/>
          <w:sz w:val="22"/>
          <w:szCs w:val="22"/>
        </w:rPr>
        <w:t xml:space="preserve">.- </w:t>
      </w:r>
      <w:r w:rsidRPr="00DD59EA">
        <w:rPr>
          <w:rFonts w:ascii="Palatino Linotype" w:hAnsi="Palatino Linotype" w:cs="Arial"/>
          <w:b/>
          <w:i/>
          <w:sz w:val="22"/>
          <w:szCs w:val="22"/>
        </w:rPr>
        <w:t>La autoridad administrativa o el Tribunal acordarán la acumulación de los expedientes del procedimiento y proceso administrativo que ante ellos se sigan, de oficio</w:t>
      </w:r>
      <w:r w:rsidRPr="00DD59EA">
        <w:rPr>
          <w:rFonts w:ascii="Palatino Linotype" w:hAnsi="Palatino Linotype" w:cs="Arial"/>
          <w:i/>
          <w:sz w:val="22"/>
          <w:szCs w:val="22"/>
        </w:rPr>
        <w:t xml:space="preserve"> o a petición de parte, </w:t>
      </w:r>
      <w:r w:rsidRPr="00DD59EA">
        <w:rPr>
          <w:rFonts w:ascii="Palatino Linotype" w:hAnsi="Palatino Linotype" w:cs="Arial"/>
          <w:b/>
          <w:i/>
          <w:sz w:val="22"/>
          <w:szCs w:val="22"/>
        </w:rPr>
        <w:t>cuando las partes</w:t>
      </w:r>
      <w:r w:rsidRPr="00DD59EA">
        <w:rPr>
          <w:rFonts w:ascii="Palatino Linotype" w:hAnsi="Palatino Linotype" w:cs="Arial"/>
          <w:i/>
          <w:sz w:val="22"/>
          <w:szCs w:val="22"/>
        </w:rPr>
        <w:t xml:space="preserve"> o los actos administrativos </w:t>
      </w:r>
      <w:r w:rsidRPr="00DD59EA">
        <w:rPr>
          <w:rFonts w:ascii="Palatino Linotype" w:hAnsi="Palatino Linotype" w:cs="Arial"/>
          <w:b/>
          <w:i/>
          <w:sz w:val="22"/>
          <w:szCs w:val="22"/>
        </w:rPr>
        <w:t>sean iguales</w:t>
      </w:r>
      <w:r w:rsidRPr="00DD59EA">
        <w:rPr>
          <w:rFonts w:ascii="Palatino Linotype" w:hAnsi="Palatino Linotype" w:cs="Arial"/>
          <w:i/>
          <w:sz w:val="22"/>
          <w:szCs w:val="22"/>
        </w:rPr>
        <w:t xml:space="preserve">, se trate de actos conexos o </w:t>
      </w:r>
      <w:r w:rsidRPr="00DD59EA">
        <w:rPr>
          <w:rFonts w:ascii="Palatino Linotype" w:hAnsi="Palatino Linotype" w:cs="Arial"/>
          <w:b/>
          <w:i/>
          <w:sz w:val="22"/>
          <w:szCs w:val="22"/>
        </w:rPr>
        <w:t>resulte conveniente el trámite unificado de los asuntos, para evitar la emisión de resoluciones contradictorias</w:t>
      </w:r>
      <w:r w:rsidRPr="00DD59EA">
        <w:rPr>
          <w:rFonts w:ascii="Palatino Linotype" w:hAnsi="Palatino Linotype" w:cs="Arial"/>
          <w:i/>
          <w:sz w:val="22"/>
          <w:szCs w:val="22"/>
        </w:rPr>
        <w:t>. La misma regla se aplicará, en lo conducente, para la separación de los expedientes.”</w:t>
      </w:r>
    </w:p>
    <w:p w:rsidR="009E4C6B" w:rsidRPr="00DD59EA" w:rsidRDefault="009E4C6B" w:rsidP="00DA47BB">
      <w:pPr>
        <w:ind w:left="851" w:right="709"/>
        <w:jc w:val="both"/>
        <w:rPr>
          <w:rFonts w:ascii="Palatino Linotype" w:hAnsi="Palatino Linotype" w:cs="Arial"/>
          <w:i/>
          <w:sz w:val="22"/>
          <w:szCs w:val="22"/>
        </w:rPr>
      </w:pPr>
    </w:p>
    <w:p w:rsidR="009E4C6B" w:rsidRPr="00DD59EA" w:rsidRDefault="009E4C6B" w:rsidP="00DA47BB">
      <w:pPr>
        <w:ind w:left="851" w:right="709"/>
        <w:jc w:val="center"/>
        <w:rPr>
          <w:rFonts w:ascii="Palatino Linotype" w:hAnsi="Palatino Linotype" w:cs="Arial"/>
          <w:b/>
          <w:i/>
          <w:sz w:val="22"/>
          <w:szCs w:val="22"/>
        </w:rPr>
      </w:pPr>
      <w:r w:rsidRPr="00DD59EA">
        <w:rPr>
          <w:rFonts w:ascii="Palatino Linotype" w:hAnsi="Palatino Linotype" w:cs="Arial"/>
          <w:b/>
          <w:i/>
          <w:sz w:val="22"/>
          <w:szCs w:val="22"/>
        </w:rPr>
        <w:t>Ley de Transparencia y Acceso a la Información Pública del Estado de México y Municipios</w:t>
      </w:r>
    </w:p>
    <w:p w:rsidR="009E4C6B" w:rsidRPr="00DD59EA" w:rsidRDefault="009E4C6B" w:rsidP="00DA47BB">
      <w:pPr>
        <w:ind w:left="851" w:right="709"/>
        <w:jc w:val="center"/>
        <w:rPr>
          <w:rFonts w:ascii="Palatino Linotype" w:hAnsi="Palatino Linotype" w:cs="Arial"/>
          <w:b/>
          <w:i/>
          <w:sz w:val="22"/>
          <w:szCs w:val="22"/>
        </w:rPr>
      </w:pPr>
    </w:p>
    <w:p w:rsidR="009E4C6B" w:rsidRPr="00DD59EA" w:rsidRDefault="009E4C6B" w:rsidP="00DA47BB">
      <w:pPr>
        <w:ind w:left="851" w:right="709"/>
        <w:jc w:val="both"/>
        <w:rPr>
          <w:rFonts w:ascii="Palatino Linotype" w:hAnsi="Palatino Linotype" w:cs="Arial"/>
          <w:i/>
          <w:sz w:val="22"/>
          <w:szCs w:val="22"/>
        </w:rPr>
      </w:pPr>
      <w:r w:rsidRPr="00DD59EA">
        <w:rPr>
          <w:rFonts w:ascii="Palatino Linotype" w:hAnsi="Palatino Linotype" w:cs="Arial"/>
          <w:b/>
          <w:i/>
          <w:sz w:val="22"/>
          <w:szCs w:val="22"/>
        </w:rPr>
        <w:t xml:space="preserve">Artículo 195. </w:t>
      </w:r>
      <w:r w:rsidRPr="00DD59EA">
        <w:rPr>
          <w:rFonts w:ascii="Palatino Linotype" w:hAnsi="Palatino Linotype" w:cs="Arial"/>
          <w:i/>
          <w:sz w:val="22"/>
          <w:szCs w:val="22"/>
        </w:rPr>
        <w:t>En la tramitación del recurso de revisión se aplicarán supletoriamente las disposiciones contenidas en el Código de Procedimientos Administrativos del Estado de México.”</w:t>
      </w:r>
    </w:p>
    <w:p w:rsidR="009E4C6B" w:rsidRPr="00DD59EA" w:rsidRDefault="009E4C6B" w:rsidP="00DA47BB">
      <w:pPr>
        <w:tabs>
          <w:tab w:val="center" w:pos="4960"/>
        </w:tabs>
        <w:ind w:left="851" w:right="709"/>
        <w:jc w:val="both"/>
        <w:rPr>
          <w:rFonts w:ascii="Palatino Linotype" w:hAnsi="Palatino Linotype" w:cs="Arial"/>
          <w:i/>
          <w:sz w:val="22"/>
          <w:szCs w:val="22"/>
        </w:rPr>
      </w:pPr>
    </w:p>
    <w:p w:rsidR="009E4C6B" w:rsidRPr="00DD59EA" w:rsidRDefault="009E4C6B" w:rsidP="00DA47BB">
      <w:pPr>
        <w:tabs>
          <w:tab w:val="center" w:pos="4960"/>
        </w:tabs>
        <w:ind w:left="851" w:right="709"/>
        <w:jc w:val="both"/>
        <w:rPr>
          <w:rFonts w:ascii="Palatino Linotype" w:hAnsi="Palatino Linotype" w:cs="Arial"/>
          <w:i/>
          <w:sz w:val="22"/>
          <w:szCs w:val="22"/>
        </w:rPr>
      </w:pPr>
      <w:r w:rsidRPr="00DD59EA">
        <w:rPr>
          <w:rFonts w:ascii="Palatino Linotype" w:hAnsi="Palatino Linotype" w:cs="Arial"/>
          <w:i/>
          <w:sz w:val="22"/>
          <w:szCs w:val="22"/>
        </w:rPr>
        <w:t>(Énfasis añadido)</w:t>
      </w:r>
    </w:p>
    <w:p w:rsidR="009E4C6B" w:rsidRPr="00DD59EA" w:rsidRDefault="009E4C6B" w:rsidP="00DA47BB">
      <w:pPr>
        <w:pStyle w:val="Encabezado"/>
        <w:spacing w:before="100" w:beforeAutospacing="1" w:after="100" w:afterAutospacing="1" w:line="360" w:lineRule="auto"/>
        <w:jc w:val="both"/>
        <w:rPr>
          <w:rFonts w:ascii="Palatino Linotype" w:hAnsi="Palatino Linotype" w:cs="Arial"/>
          <w:color w:val="000000"/>
          <w:lang w:val="es-MX"/>
        </w:rPr>
      </w:pPr>
      <w:r w:rsidRPr="00DD59EA">
        <w:rPr>
          <w:rFonts w:ascii="Palatino Linotype" w:hAnsi="Palatino Linotype" w:cs="Arial"/>
          <w:color w:val="000000"/>
          <w:sz w:val="22"/>
          <w:szCs w:val="22"/>
          <w:lang w:val="es-MX"/>
        </w:rPr>
        <w:t xml:space="preserve">De lo </w:t>
      </w:r>
      <w:r w:rsidRPr="00DD59EA">
        <w:rPr>
          <w:rFonts w:ascii="Palatino Linotype" w:hAnsi="Palatino Linotype" w:cs="Arial"/>
          <w:color w:val="000000"/>
          <w:lang w:val="es-MX"/>
        </w:rPr>
        <w:t>dispuesto en la normativa anterior, dicha acumulación procede cuando:</w:t>
      </w:r>
    </w:p>
    <w:p w:rsidR="009E4C6B" w:rsidRPr="00DD59EA" w:rsidRDefault="009E4C6B" w:rsidP="00DA47BB">
      <w:pPr>
        <w:pStyle w:val="Encabezado"/>
        <w:numPr>
          <w:ilvl w:val="0"/>
          <w:numId w:val="5"/>
        </w:numPr>
        <w:tabs>
          <w:tab w:val="clear" w:pos="4252"/>
          <w:tab w:val="center" w:pos="284"/>
        </w:tabs>
        <w:spacing w:before="100" w:beforeAutospacing="1" w:after="100" w:afterAutospacing="1" w:line="360" w:lineRule="auto"/>
        <w:ind w:left="0" w:firstLine="0"/>
        <w:jc w:val="both"/>
        <w:rPr>
          <w:rFonts w:ascii="Palatino Linotype" w:hAnsi="Palatino Linotype" w:cs="Arial"/>
          <w:color w:val="000000"/>
          <w:lang w:val="es-MX"/>
        </w:rPr>
      </w:pPr>
      <w:r w:rsidRPr="00DD59EA">
        <w:rPr>
          <w:rFonts w:ascii="Palatino Linotype" w:hAnsi="Palatino Linotype" w:cs="Arial"/>
          <w:color w:val="000000"/>
          <w:lang w:val="es-MX"/>
        </w:rPr>
        <w:t>El solicitante y la información referida sean las mismas;</w:t>
      </w:r>
    </w:p>
    <w:p w:rsidR="009E4C6B" w:rsidRPr="00DD59EA" w:rsidRDefault="009E4C6B" w:rsidP="00DA47BB">
      <w:pPr>
        <w:pStyle w:val="Encabezado"/>
        <w:numPr>
          <w:ilvl w:val="0"/>
          <w:numId w:val="5"/>
        </w:numPr>
        <w:tabs>
          <w:tab w:val="clear" w:pos="4252"/>
          <w:tab w:val="center" w:pos="284"/>
        </w:tabs>
        <w:spacing w:before="100" w:beforeAutospacing="1" w:after="100" w:afterAutospacing="1" w:line="360" w:lineRule="auto"/>
        <w:ind w:left="0" w:firstLine="0"/>
        <w:jc w:val="both"/>
        <w:rPr>
          <w:rFonts w:ascii="Palatino Linotype" w:hAnsi="Palatino Linotype" w:cs="Arial"/>
          <w:b/>
          <w:color w:val="000000"/>
          <w:lang w:val="es-MX"/>
        </w:rPr>
      </w:pPr>
      <w:r w:rsidRPr="00DD59EA">
        <w:rPr>
          <w:rFonts w:ascii="Palatino Linotype" w:hAnsi="Palatino Linotype" w:cs="Arial"/>
          <w:b/>
          <w:color w:val="000000"/>
          <w:lang w:val="es-MX"/>
        </w:rPr>
        <w:t>Las partes o los actos impugnados sean iguales;</w:t>
      </w:r>
    </w:p>
    <w:p w:rsidR="009E4C6B" w:rsidRPr="00DD59EA" w:rsidRDefault="009E4C6B" w:rsidP="00DA47BB">
      <w:pPr>
        <w:pStyle w:val="Encabezado"/>
        <w:numPr>
          <w:ilvl w:val="0"/>
          <w:numId w:val="5"/>
        </w:numPr>
        <w:tabs>
          <w:tab w:val="clear" w:pos="4252"/>
          <w:tab w:val="center" w:pos="284"/>
        </w:tabs>
        <w:spacing w:before="100" w:beforeAutospacing="1" w:after="100" w:afterAutospacing="1" w:line="360" w:lineRule="auto"/>
        <w:ind w:left="0" w:firstLine="0"/>
        <w:jc w:val="both"/>
        <w:rPr>
          <w:rFonts w:ascii="Palatino Linotype" w:hAnsi="Palatino Linotype" w:cs="Arial"/>
          <w:b/>
          <w:color w:val="000000"/>
          <w:lang w:val="es-MX"/>
        </w:rPr>
      </w:pPr>
      <w:r w:rsidRPr="00DD59EA">
        <w:rPr>
          <w:rFonts w:ascii="Palatino Linotype" w:hAnsi="Palatino Linotype" w:cs="Arial"/>
          <w:b/>
          <w:color w:val="000000"/>
          <w:lang w:val="es-MX"/>
        </w:rPr>
        <w:t>Cuando se trate del mismo solicitante, el mismo Sujeto Obligado, aunque se trate de solicitudes diversas; y</w:t>
      </w:r>
    </w:p>
    <w:p w:rsidR="009E4C6B" w:rsidRPr="00DD59EA" w:rsidRDefault="009E4C6B" w:rsidP="00DA47BB">
      <w:pPr>
        <w:pStyle w:val="Encabezado"/>
        <w:numPr>
          <w:ilvl w:val="0"/>
          <w:numId w:val="5"/>
        </w:numPr>
        <w:tabs>
          <w:tab w:val="clear" w:pos="4252"/>
          <w:tab w:val="center" w:pos="284"/>
        </w:tabs>
        <w:spacing w:before="100" w:beforeAutospacing="1" w:after="100" w:afterAutospacing="1" w:line="360" w:lineRule="auto"/>
        <w:ind w:left="0" w:firstLine="0"/>
        <w:jc w:val="both"/>
        <w:rPr>
          <w:rFonts w:ascii="Palatino Linotype" w:hAnsi="Palatino Linotype" w:cs="Arial"/>
          <w:color w:val="000000"/>
          <w:lang w:val="es-MX"/>
        </w:rPr>
      </w:pPr>
      <w:r w:rsidRPr="00DD59EA">
        <w:rPr>
          <w:rFonts w:ascii="Palatino Linotype" w:hAnsi="Palatino Linotype" w:cs="Arial"/>
          <w:b/>
          <w:color w:val="000000"/>
          <w:lang w:val="es-MX"/>
        </w:rPr>
        <w:t>Resulte conveniente la resolución unificada de los asuntos</w:t>
      </w:r>
      <w:r w:rsidRPr="00DD59EA">
        <w:rPr>
          <w:rFonts w:ascii="Palatino Linotype" w:hAnsi="Palatino Linotype" w:cs="Arial"/>
          <w:i/>
          <w:color w:val="000000"/>
          <w:lang w:val="es-MX"/>
        </w:rPr>
        <w:t>.</w:t>
      </w:r>
    </w:p>
    <w:p w:rsidR="009E4C6B" w:rsidRPr="00DD59EA" w:rsidRDefault="009E4C6B" w:rsidP="00DA47BB">
      <w:pPr>
        <w:pStyle w:val="Encabezado"/>
        <w:spacing w:before="100" w:beforeAutospacing="1" w:after="100" w:afterAutospacing="1" w:line="360" w:lineRule="auto"/>
        <w:jc w:val="both"/>
        <w:rPr>
          <w:rFonts w:ascii="Palatino Linotype" w:hAnsi="Palatino Linotype" w:cs="Arial"/>
          <w:color w:val="000000"/>
          <w:lang w:val="es-MX"/>
        </w:rPr>
      </w:pPr>
      <w:r w:rsidRPr="00DD59EA">
        <w:rPr>
          <w:rFonts w:ascii="Palatino Linotype" w:hAnsi="Palatino Linotype" w:cs="Arial"/>
          <w:color w:val="000000"/>
          <w:lang w:val="es-MX"/>
        </w:rPr>
        <w:t xml:space="preserve">Así, tal y como se mencionó anteriormente, los recursos de revisión que nos ocupan fueron interpuestos por la misma </w:t>
      </w:r>
      <w:r w:rsidRPr="00DD59EA">
        <w:rPr>
          <w:rFonts w:ascii="Palatino Linotype" w:hAnsi="Palatino Linotype" w:cs="Arial"/>
          <w:b/>
          <w:color w:val="000000"/>
          <w:lang w:val="es-MX"/>
        </w:rPr>
        <w:t>RECURRENTE</w:t>
      </w:r>
      <w:r w:rsidRPr="00DD59EA">
        <w:rPr>
          <w:rFonts w:ascii="Palatino Linotype" w:hAnsi="Palatino Linotype" w:cs="Arial"/>
          <w:color w:val="000000"/>
          <w:lang w:val="es-MX"/>
        </w:rPr>
        <w:t xml:space="preserve"> ante el mismo </w:t>
      </w:r>
      <w:r w:rsidRPr="00DD59EA">
        <w:rPr>
          <w:rFonts w:ascii="Palatino Linotype" w:hAnsi="Palatino Linotype" w:cs="Arial"/>
          <w:b/>
          <w:color w:val="000000"/>
          <w:lang w:val="es-MX"/>
        </w:rPr>
        <w:t>SUJETO OBLIGADO</w:t>
      </w:r>
      <w:r w:rsidRPr="00DD59EA">
        <w:rPr>
          <w:rFonts w:ascii="Palatino Linotype" w:hAnsi="Palatino Linotype" w:cs="Arial"/>
          <w:color w:val="000000"/>
          <w:lang w:val="es-MX"/>
        </w:rPr>
        <w:t xml:space="preserve">, además de que si bien la información solicitada no es la misma, resulta </w:t>
      </w:r>
      <w:r w:rsidRPr="00DD59EA">
        <w:rPr>
          <w:rFonts w:ascii="Palatino Linotype" w:hAnsi="Palatino Linotype" w:cs="Arial"/>
          <w:color w:val="000000"/>
          <w:lang w:val="es-MX"/>
        </w:rPr>
        <w:lastRenderedPageBreak/>
        <w:t>conveniente su resolución conjunta por tratarse de solicitudes de información relacionadas con la Universidad Politécnica del Valle de Toluca.</w:t>
      </w:r>
    </w:p>
    <w:p w:rsidR="009E4C6B" w:rsidRPr="00DD59EA" w:rsidRDefault="009E4C6B" w:rsidP="00DA47BB">
      <w:pPr>
        <w:pStyle w:val="Prrafodelista"/>
        <w:widowControl w:val="0"/>
        <w:tabs>
          <w:tab w:val="left" w:pos="1701"/>
        </w:tabs>
        <w:autoSpaceDE w:val="0"/>
        <w:autoSpaceDN w:val="0"/>
        <w:adjustRightInd w:val="0"/>
        <w:spacing w:before="100" w:beforeAutospacing="1" w:after="100" w:afterAutospacing="1" w:line="360" w:lineRule="auto"/>
        <w:ind w:left="0"/>
        <w:contextualSpacing w:val="0"/>
        <w:jc w:val="both"/>
        <w:rPr>
          <w:rFonts w:ascii="Palatino Linotype" w:hAnsi="Palatino Linotype" w:cs="Arial"/>
          <w:color w:val="000000"/>
        </w:rPr>
      </w:pPr>
      <w:r w:rsidRPr="00DD59EA">
        <w:rPr>
          <w:rFonts w:ascii="Palatino Linotype" w:hAnsi="Palatino Linotype" w:cs="Arial"/>
          <w:color w:val="000000"/>
        </w:rPr>
        <w:t>Bajo este orden de ideas, el Pleno de este Órgano Garante determinó la acumulación de los recursos de revisión señalados en párrafos anteriores.</w:t>
      </w:r>
    </w:p>
    <w:p w:rsidR="009E4C6B" w:rsidRPr="00DD59EA" w:rsidRDefault="009E4C6B" w:rsidP="00DA47BB">
      <w:pPr>
        <w:spacing w:before="100" w:beforeAutospacing="1" w:after="100" w:afterAutospacing="1" w:line="360" w:lineRule="auto"/>
        <w:ind w:right="49"/>
        <w:jc w:val="both"/>
        <w:rPr>
          <w:rFonts w:ascii="Palatino Linotype" w:hAnsi="Palatino Linotype" w:cs="Arial"/>
          <w:b/>
        </w:rPr>
      </w:pPr>
      <w:r w:rsidRPr="00DD59EA">
        <w:rPr>
          <w:rFonts w:ascii="Palatino Linotype" w:hAnsi="Palatino Linotype" w:cs="Arial"/>
          <w:b/>
          <w:sz w:val="28"/>
          <w:szCs w:val="28"/>
        </w:rPr>
        <w:t>CUARTO.</w:t>
      </w:r>
      <w:r w:rsidRPr="00DD59EA">
        <w:rPr>
          <w:rFonts w:ascii="Palatino Linotype" w:hAnsi="Palatino Linotype" w:cs="Arial"/>
          <w:b/>
        </w:rPr>
        <w:t xml:space="preserve"> Oportunidad. </w:t>
      </w:r>
      <w:r w:rsidRPr="00DD59EA">
        <w:rPr>
          <w:rFonts w:ascii="Palatino Linotype" w:hAnsi="Palatino Linotype" w:cs="Arial"/>
        </w:rPr>
        <w:t xml:space="preserve">Los recursos de revisión fueron interpuestos dentro del plazo de quince días hábiles </w:t>
      </w:r>
      <w:r w:rsidRPr="00DD59EA">
        <w:rPr>
          <w:rFonts w:ascii="Palatino Linotype" w:hAnsi="Palatino Linotype"/>
        </w:rPr>
        <w:t>contados</w:t>
      </w:r>
      <w:r w:rsidRPr="00DD59EA">
        <w:rPr>
          <w:rFonts w:ascii="Palatino Linotype" w:hAnsi="Palatino Linotype" w:cs="Arial"/>
        </w:rPr>
        <w:t xml:space="preserve"> a </w:t>
      </w:r>
      <w:r w:rsidRPr="00DD59EA">
        <w:rPr>
          <w:rFonts w:ascii="Palatino Linotype" w:hAnsi="Palatino Linotype"/>
        </w:rPr>
        <w:t>partir</w:t>
      </w:r>
      <w:r w:rsidRPr="00DD59EA">
        <w:rPr>
          <w:rFonts w:ascii="Palatino Linotype" w:hAnsi="Palatino Linotype" w:cs="Arial"/>
        </w:rPr>
        <w:t xml:space="preserve"> del día siguiente al que </w:t>
      </w:r>
      <w:r w:rsidRPr="00DD59EA">
        <w:rPr>
          <w:rFonts w:ascii="Palatino Linotype" w:hAnsi="Palatino Linotype" w:cs="Arial"/>
          <w:b/>
        </w:rPr>
        <w:t>LA</w:t>
      </w:r>
      <w:r w:rsidRPr="00DD59EA">
        <w:rPr>
          <w:rFonts w:ascii="Palatino Linotype" w:hAnsi="Palatino Linotype" w:cs="Arial"/>
          <w:b/>
          <w:bCs/>
        </w:rPr>
        <w:t xml:space="preserve"> RECURRENTE </w:t>
      </w:r>
      <w:r w:rsidRPr="00DD59EA">
        <w:rPr>
          <w:rFonts w:ascii="Palatino Linotype" w:hAnsi="Palatino Linotype" w:cs="Arial"/>
        </w:rPr>
        <w:t>tuvo conocimiento de las respuestas</w:t>
      </w:r>
      <w:r w:rsidR="004A463E" w:rsidRPr="00DD59EA">
        <w:rPr>
          <w:rFonts w:ascii="Palatino Linotype" w:hAnsi="Palatino Linotype" w:cs="Arial"/>
        </w:rPr>
        <w:t xml:space="preserve"> impugnadas;</w:t>
      </w:r>
      <w:r w:rsidRPr="00DD59EA">
        <w:rPr>
          <w:rFonts w:ascii="Palatino Linotype" w:hAnsi="Palatino Linotype" w:cs="Arial"/>
        </w:rPr>
        <w:t xml:space="preserve"> tal y como</w:t>
      </w:r>
      <w:r w:rsidR="004A463E" w:rsidRPr="00DD59EA">
        <w:rPr>
          <w:rFonts w:ascii="Palatino Linotype" w:hAnsi="Palatino Linotype" w:cs="Arial"/>
        </w:rPr>
        <w:t>,</w:t>
      </w:r>
      <w:r w:rsidRPr="00DD59EA">
        <w:rPr>
          <w:rFonts w:ascii="Palatino Linotype" w:hAnsi="Palatino Linotype" w:cs="Arial"/>
        </w:rPr>
        <w:t xml:space="preserve"> lo prevé el artículo 178 de la Ley de Transparencia y Acceso a la Información Pública del Estado de México y Municipios, que establece:</w:t>
      </w:r>
    </w:p>
    <w:p w:rsidR="009E4C6B" w:rsidRPr="00DD59EA" w:rsidRDefault="009E4C6B" w:rsidP="00DA47BB">
      <w:pPr>
        <w:spacing w:before="120" w:after="120"/>
        <w:ind w:left="851" w:right="899"/>
        <w:jc w:val="both"/>
        <w:rPr>
          <w:rFonts w:ascii="Palatino Linotype" w:hAnsi="Palatino Linotype" w:cs="Arial"/>
          <w:i/>
          <w:sz w:val="22"/>
          <w:szCs w:val="22"/>
        </w:rPr>
      </w:pPr>
      <w:r w:rsidRPr="00DD59EA">
        <w:rPr>
          <w:rFonts w:ascii="Palatino Linotype" w:hAnsi="Palatino Linotype" w:cs="Arial"/>
          <w:i/>
          <w:sz w:val="22"/>
          <w:szCs w:val="22"/>
        </w:rPr>
        <w:t>“</w:t>
      </w:r>
      <w:r w:rsidRPr="00DD59EA">
        <w:rPr>
          <w:rFonts w:ascii="Palatino Linotype" w:hAnsi="Palatino Linotype" w:cs="Arial"/>
          <w:b/>
          <w:i/>
          <w:sz w:val="22"/>
          <w:szCs w:val="22"/>
        </w:rPr>
        <w:t>Artículo 178.</w:t>
      </w:r>
      <w:r w:rsidRPr="00DD59EA">
        <w:rPr>
          <w:rFonts w:ascii="Palatino Linotype" w:hAnsi="Palatino Linotype" w:cs="Arial"/>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rsidR="009E4C6B" w:rsidRPr="00DD59EA" w:rsidRDefault="009E4C6B" w:rsidP="00DA47BB">
      <w:pPr>
        <w:spacing w:before="120" w:after="120"/>
        <w:ind w:left="851" w:right="899"/>
        <w:jc w:val="both"/>
        <w:rPr>
          <w:rFonts w:ascii="Palatino Linotype" w:hAnsi="Palatino Linotype" w:cs="Arial"/>
          <w:i/>
          <w:sz w:val="22"/>
          <w:szCs w:val="22"/>
        </w:rPr>
      </w:pPr>
      <w:r w:rsidRPr="00DD59EA">
        <w:rPr>
          <w:rFonts w:ascii="Palatino Linotype" w:hAnsi="Palatino Linotype" w:cs="Arial"/>
          <w:i/>
          <w:sz w:val="22"/>
          <w:szCs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rsidR="009E4C6B" w:rsidRPr="00DD59EA" w:rsidRDefault="009E4C6B" w:rsidP="00DA47BB">
      <w:pPr>
        <w:spacing w:before="120" w:after="120"/>
        <w:ind w:left="851" w:right="899"/>
        <w:jc w:val="both"/>
        <w:rPr>
          <w:rFonts w:ascii="Palatino Linotype" w:hAnsi="Palatino Linotype" w:cs="Arial"/>
          <w:i/>
          <w:sz w:val="22"/>
          <w:szCs w:val="22"/>
        </w:rPr>
      </w:pPr>
      <w:r w:rsidRPr="00DD59EA">
        <w:rPr>
          <w:rFonts w:ascii="Palatino Linotype" w:hAnsi="Palatino Linotype" w:cs="Arial"/>
          <w:i/>
          <w:sz w:val="22"/>
          <w:szCs w:val="22"/>
        </w:rPr>
        <w:t>En el caso de que se interponga ante la Unidad de Transparencia, ésta deberá remitir el recurso de revisión al Instituto a más tardar al día siguiente de haberlo recibido.”</w:t>
      </w:r>
    </w:p>
    <w:p w:rsidR="009E4C6B" w:rsidRPr="00DD59EA" w:rsidRDefault="009E4C6B"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En esa tesitura, atendiendo a que </w:t>
      </w:r>
      <w:r w:rsidRPr="00DD59EA">
        <w:rPr>
          <w:rFonts w:ascii="Palatino Linotype" w:hAnsi="Palatino Linotype" w:cs="Arial"/>
          <w:b/>
        </w:rPr>
        <w:t>EL SUJETO OBLIGADO</w:t>
      </w:r>
      <w:r w:rsidRPr="00DD59EA">
        <w:rPr>
          <w:rFonts w:ascii="Palatino Linotype" w:hAnsi="Palatino Linotype" w:cs="Arial"/>
        </w:rPr>
        <w:t xml:space="preserve"> notificó las respuestas a las solicitud de información pública en fecha </w:t>
      </w:r>
      <w:r w:rsidRPr="00DD59EA">
        <w:rPr>
          <w:rFonts w:ascii="Palatino Linotype" w:hAnsi="Palatino Linotype" w:cs="Arial"/>
          <w:b/>
        </w:rPr>
        <w:t xml:space="preserve">siete de febrero de dos mil diecinueve; </w:t>
      </w:r>
      <w:r w:rsidRPr="00DD59EA">
        <w:rPr>
          <w:rFonts w:ascii="Palatino Linotype" w:hAnsi="Palatino Linotype" w:cs="Arial"/>
        </w:rPr>
        <w:t>así, el plazo de quince días hábiles que el artículo 178 de la Ley de la materia otorga a la hoy</w:t>
      </w:r>
      <w:r w:rsidRPr="00DD59EA">
        <w:rPr>
          <w:rFonts w:ascii="Palatino Linotype" w:hAnsi="Palatino Linotype" w:cs="Arial"/>
          <w:b/>
        </w:rPr>
        <w:t xml:space="preserve"> RECURRENTE </w:t>
      </w:r>
      <w:r w:rsidRPr="00DD59EA">
        <w:rPr>
          <w:rFonts w:ascii="Palatino Linotype" w:hAnsi="Palatino Linotype" w:cs="Arial"/>
        </w:rPr>
        <w:t xml:space="preserve">para presentar los recursos de revisión, transcurrió del </w:t>
      </w:r>
      <w:r w:rsidRPr="00DD59EA">
        <w:rPr>
          <w:rFonts w:ascii="Palatino Linotype" w:hAnsi="Palatino Linotype" w:cs="Arial"/>
          <w:b/>
        </w:rPr>
        <w:t>ocho al veintiocho de febrero de dos mil diecinueve</w:t>
      </w:r>
      <w:r w:rsidRPr="00DD59EA">
        <w:rPr>
          <w:rFonts w:ascii="Palatino Linotype" w:hAnsi="Palatino Linotype" w:cs="Arial"/>
        </w:rPr>
        <w:t xml:space="preserve">, sin contemplar en los cómputos los días </w:t>
      </w:r>
      <w:r w:rsidRPr="00DD59EA">
        <w:rPr>
          <w:rFonts w:ascii="Palatino Linotype" w:hAnsi="Palatino Linotype" w:cs="Arial"/>
        </w:rPr>
        <w:lastRenderedPageBreak/>
        <w:t xml:space="preserve">nueve, diez, dieciséis, diecisiete, veintitrés y veinticuatro de febrero de dos mil diecinueve, al corresponder a sábados y domingos, considerados como días inhábiles, en términos del artículo 3, fracción X de la </w:t>
      </w:r>
      <w:r w:rsidRPr="00DD59EA">
        <w:rPr>
          <w:rFonts w:ascii="Palatino Linotype" w:hAnsi="Palatino Linotype"/>
        </w:rPr>
        <w:t>Ley de Transparencia y Acceso a la Información Pública del Estado de México y Municipios.</w:t>
      </w:r>
    </w:p>
    <w:p w:rsidR="009E4C6B" w:rsidRPr="00DD59EA" w:rsidRDefault="009E4C6B" w:rsidP="00DA47BB">
      <w:pPr>
        <w:spacing w:before="200" w:after="200" w:line="360" w:lineRule="auto"/>
        <w:jc w:val="both"/>
        <w:rPr>
          <w:rFonts w:ascii="Palatino Linotype" w:hAnsi="Palatino Linotype" w:cs="Arial"/>
        </w:rPr>
      </w:pPr>
      <w:r w:rsidRPr="00DD59EA">
        <w:rPr>
          <w:rFonts w:ascii="Palatino Linotype" w:hAnsi="Palatino Linotype" w:cs="Arial"/>
        </w:rPr>
        <w:t xml:space="preserve">En ese tenor, si los recursos de revisión que nos ocupan, se interpusieron el </w:t>
      </w:r>
      <w:r w:rsidRPr="00DD59EA">
        <w:rPr>
          <w:rFonts w:ascii="Palatino Linotype" w:hAnsi="Palatino Linotype" w:cs="Arial"/>
          <w:b/>
        </w:rPr>
        <w:t>ocho de febrero de dos mil diecinueve</w:t>
      </w:r>
      <w:r w:rsidRPr="00DD59EA">
        <w:rPr>
          <w:rFonts w:ascii="Palatino Linotype" w:hAnsi="Palatino Linotype" w:cs="Arial"/>
        </w:rPr>
        <w:t>, éstos se encuentran dentro de los márgenes temporales previstos en el artículo 178 de la Ley de Transparencia y Acceso a la Información</w:t>
      </w:r>
      <w:r w:rsidRPr="00DD59EA">
        <w:rPr>
          <w:rFonts w:ascii="Palatino Linotype" w:hAnsi="Palatino Linotype"/>
        </w:rPr>
        <w:t xml:space="preserve"> Pública del Estado de México y Municipios</w:t>
      </w:r>
      <w:r w:rsidRPr="00DD59EA">
        <w:rPr>
          <w:rFonts w:ascii="Palatino Linotype" w:hAnsi="Palatino Linotype" w:cs="Arial"/>
        </w:rPr>
        <w:t xml:space="preserve"> y, por tanto, su interposición se considera oportuna.</w:t>
      </w:r>
    </w:p>
    <w:p w:rsidR="009E4C6B" w:rsidRPr="00DD59EA" w:rsidRDefault="009E4C6B" w:rsidP="00DA47BB">
      <w:pPr>
        <w:pStyle w:val="Prrafodelista"/>
        <w:widowControl w:val="0"/>
        <w:tabs>
          <w:tab w:val="left" w:pos="1418"/>
        </w:tabs>
        <w:autoSpaceDE w:val="0"/>
        <w:autoSpaceDN w:val="0"/>
        <w:adjustRightInd w:val="0"/>
        <w:spacing w:before="200" w:after="200" w:line="360" w:lineRule="auto"/>
        <w:ind w:left="0"/>
        <w:contextualSpacing w:val="0"/>
        <w:jc w:val="both"/>
        <w:rPr>
          <w:rFonts w:ascii="Palatino Linotype" w:hAnsi="Palatino Linotype"/>
        </w:rPr>
      </w:pPr>
      <w:r w:rsidRPr="00DD59EA">
        <w:rPr>
          <w:rFonts w:ascii="Palatino Linotype" w:hAnsi="Palatino Linotype" w:cs="Arial"/>
          <w:b/>
          <w:sz w:val="28"/>
          <w:szCs w:val="28"/>
        </w:rPr>
        <w:t>QUINTO.</w:t>
      </w:r>
      <w:r w:rsidRPr="00DD59EA">
        <w:rPr>
          <w:rFonts w:ascii="Palatino Linotype" w:hAnsi="Palatino Linotype" w:cs="Arial"/>
          <w:b/>
          <w:szCs w:val="28"/>
        </w:rPr>
        <w:t xml:space="preserve"> Procedibilidad. </w:t>
      </w:r>
      <w:r w:rsidRPr="00DD59EA">
        <w:rPr>
          <w:rFonts w:ascii="Palatino Linotype" w:hAnsi="Palatino Linotype" w:cs="Arial"/>
        </w:rPr>
        <w:t xml:space="preserve">Del análisis efectuado, se advierte la procedibilidad de los presentes recursos de revisión, en razón de la acreditación </w:t>
      </w:r>
      <w:r w:rsidRPr="00DD59EA">
        <w:rPr>
          <w:rFonts w:ascii="Palatino Linotype" w:hAnsi="Palatino Linotype" w:cs="Arial"/>
          <w:snapToGrid w:val="0"/>
        </w:rPr>
        <w:t>plena</w:t>
      </w:r>
      <w:r w:rsidRPr="00DD59EA">
        <w:rPr>
          <w:rFonts w:ascii="Palatino Linotype" w:hAnsi="Palatino Linotype" w:cs="Arial"/>
        </w:rPr>
        <w:t xml:space="preserve"> de todos y cada uno de los elementos formales exigidos por el artículo 180 de la Ley de Transparencia y Acceso a la Información</w:t>
      </w:r>
      <w:r w:rsidRPr="00DD59EA">
        <w:rPr>
          <w:rFonts w:ascii="Palatino Linotype" w:hAnsi="Palatino Linotype"/>
        </w:rPr>
        <w:t xml:space="preserve"> Pública del Estado de México y Municipios, en atención a que fueron presentados mediante el formato visible en </w:t>
      </w:r>
      <w:r w:rsidRPr="00DD59EA">
        <w:rPr>
          <w:rFonts w:ascii="Palatino Linotype" w:hAnsi="Palatino Linotype"/>
          <w:b/>
        </w:rPr>
        <w:t>EL SAIMEX</w:t>
      </w:r>
      <w:r w:rsidRPr="00DD59EA">
        <w:rPr>
          <w:rFonts w:ascii="Palatino Linotype" w:hAnsi="Palatino Linotype"/>
        </w:rPr>
        <w:t>.</w:t>
      </w:r>
    </w:p>
    <w:p w:rsidR="005E2458" w:rsidRPr="00DD59EA" w:rsidRDefault="005E2458"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b/>
          <w:sz w:val="28"/>
          <w:szCs w:val="28"/>
        </w:rPr>
        <w:t>SEXTO.</w:t>
      </w:r>
      <w:r w:rsidRPr="00DD59EA">
        <w:rPr>
          <w:rFonts w:ascii="Palatino Linotype" w:hAnsi="Palatino Linotype" w:cs="Arial"/>
          <w:b/>
        </w:rPr>
        <w:t xml:space="preserve"> Estudio y resolución del asunto</w:t>
      </w:r>
      <w:r w:rsidRPr="00DD59EA">
        <w:rPr>
          <w:rFonts w:ascii="Palatino Linotype" w:hAnsi="Palatino Linotype"/>
          <w:b/>
        </w:rPr>
        <w:t>.</w:t>
      </w:r>
      <w:r w:rsidRPr="00DD59EA">
        <w:rPr>
          <w:rFonts w:ascii="Palatino Linotype" w:hAnsi="Palatino Linotype" w:cs="Arial"/>
          <w:b/>
          <w:color w:val="000000" w:themeColor="text1"/>
        </w:rPr>
        <w:t xml:space="preserve"> </w:t>
      </w:r>
      <w:r w:rsidRPr="00DD59EA">
        <w:rPr>
          <w:rFonts w:ascii="Palatino Linotype" w:hAnsi="Palatino Linotype" w:cs="Arial"/>
        </w:rPr>
        <w:t xml:space="preserve">Del análisis efectuado se advierte que </w:t>
      </w:r>
      <w:r w:rsidR="00472C04" w:rsidRPr="00DD59EA">
        <w:rPr>
          <w:rFonts w:ascii="Palatino Linotype" w:hAnsi="Palatino Linotype" w:cs="Arial"/>
        </w:rPr>
        <w:t>los recursos de revisión resultan procedentes, toda vez que se actualiza la hipótesis prevista</w:t>
      </w:r>
      <w:r w:rsidRPr="00DD59EA">
        <w:rPr>
          <w:rFonts w:ascii="Palatino Linotype" w:hAnsi="Palatino Linotype" w:cs="Arial"/>
        </w:rPr>
        <w:t xml:space="preserve"> en la</w:t>
      </w:r>
      <w:r w:rsidR="00472C04" w:rsidRPr="00DD59EA">
        <w:rPr>
          <w:rFonts w:ascii="Palatino Linotype" w:hAnsi="Palatino Linotype" w:cs="Arial"/>
        </w:rPr>
        <w:t xml:space="preserve"> fracción I</w:t>
      </w:r>
      <w:r w:rsidRPr="00DD59EA">
        <w:rPr>
          <w:rFonts w:ascii="Palatino Linotype" w:hAnsi="Palatino Linotype" w:cs="Arial"/>
        </w:rPr>
        <w:t xml:space="preserve"> del artículo 179 de la Ley de </w:t>
      </w:r>
      <w:r w:rsidR="00472C04" w:rsidRPr="00DD59EA">
        <w:rPr>
          <w:rFonts w:ascii="Palatino Linotype" w:hAnsi="Palatino Linotype" w:cs="Arial"/>
        </w:rPr>
        <w:t>la materia, que a la letra dice</w:t>
      </w:r>
      <w:r w:rsidRPr="00DD59EA">
        <w:rPr>
          <w:rFonts w:ascii="Palatino Linotype" w:hAnsi="Palatino Linotype" w:cs="Arial"/>
        </w:rPr>
        <w:t>:</w:t>
      </w:r>
    </w:p>
    <w:p w:rsidR="005E2458" w:rsidRPr="00DD59EA" w:rsidRDefault="005E2458" w:rsidP="00DA47BB">
      <w:pPr>
        <w:ind w:left="851" w:right="902"/>
        <w:jc w:val="both"/>
        <w:rPr>
          <w:rFonts w:ascii="Palatino Linotype" w:hAnsi="Palatino Linotype" w:cs="Arial"/>
          <w:bCs/>
          <w:i/>
          <w:sz w:val="22"/>
          <w:szCs w:val="22"/>
        </w:rPr>
      </w:pPr>
      <w:r w:rsidRPr="00DD59EA">
        <w:rPr>
          <w:rFonts w:ascii="Palatino Linotype" w:hAnsi="Palatino Linotype" w:cs="Arial"/>
          <w:bCs/>
          <w:i/>
          <w:sz w:val="22"/>
          <w:szCs w:val="22"/>
        </w:rPr>
        <w:t>“</w:t>
      </w:r>
      <w:r w:rsidRPr="00DD59EA">
        <w:rPr>
          <w:rFonts w:ascii="Palatino Linotype" w:hAnsi="Palatino Linotype" w:cs="Arial"/>
          <w:b/>
          <w:bCs/>
          <w:i/>
          <w:sz w:val="22"/>
          <w:szCs w:val="22"/>
        </w:rPr>
        <w:t>Artículo 179.</w:t>
      </w:r>
      <w:r w:rsidRPr="00DD59EA">
        <w:rPr>
          <w:rFonts w:ascii="Palatino Linotype" w:hAnsi="Palatino Linotype" w:cs="Arial"/>
          <w:bCs/>
          <w:i/>
          <w:sz w:val="22"/>
          <w:szCs w:val="22"/>
        </w:rPr>
        <w:t xml:space="preserve"> El recurso de revisión es un medio de protección que la Ley otorga a los particulares, para hacer valer su derecho de acceso a la información pública, y procederá en contra de las siguientes causas:</w:t>
      </w:r>
    </w:p>
    <w:p w:rsidR="00472C04" w:rsidRPr="00DD59EA" w:rsidRDefault="00472C04" w:rsidP="00DA47BB">
      <w:pPr>
        <w:ind w:left="851" w:right="902"/>
        <w:jc w:val="both"/>
        <w:rPr>
          <w:rFonts w:ascii="Palatino Linotype" w:hAnsi="Palatino Linotype" w:cs="Arial"/>
          <w:bCs/>
          <w:i/>
          <w:sz w:val="22"/>
          <w:szCs w:val="22"/>
        </w:rPr>
      </w:pPr>
    </w:p>
    <w:p w:rsidR="005E2458" w:rsidRPr="00DD59EA" w:rsidRDefault="00472C04" w:rsidP="00DA47BB">
      <w:pPr>
        <w:ind w:left="851" w:right="902"/>
        <w:jc w:val="both"/>
        <w:rPr>
          <w:rFonts w:ascii="Palatino Linotype" w:hAnsi="Palatino Linotype" w:cs="Arial"/>
          <w:b/>
          <w:bCs/>
          <w:i/>
          <w:sz w:val="22"/>
          <w:szCs w:val="22"/>
        </w:rPr>
      </w:pPr>
      <w:r w:rsidRPr="00DD59EA">
        <w:rPr>
          <w:rFonts w:ascii="Palatino Linotype" w:hAnsi="Palatino Linotype" w:cs="Arial"/>
          <w:b/>
          <w:bCs/>
          <w:i/>
          <w:sz w:val="22"/>
          <w:szCs w:val="22"/>
        </w:rPr>
        <w:t>I</w:t>
      </w:r>
      <w:r w:rsidR="005E2458" w:rsidRPr="00DD59EA">
        <w:rPr>
          <w:rFonts w:ascii="Palatino Linotype" w:hAnsi="Palatino Linotype" w:cs="Arial"/>
          <w:b/>
          <w:bCs/>
          <w:i/>
          <w:sz w:val="22"/>
          <w:szCs w:val="22"/>
        </w:rPr>
        <w:t xml:space="preserve">. La </w:t>
      </w:r>
      <w:r w:rsidRPr="00DD59EA">
        <w:rPr>
          <w:rFonts w:ascii="Palatino Linotype" w:hAnsi="Palatino Linotype" w:cs="Arial"/>
          <w:b/>
          <w:bCs/>
          <w:i/>
          <w:sz w:val="22"/>
          <w:szCs w:val="22"/>
        </w:rPr>
        <w:t>negativa a la información solicitada</w:t>
      </w:r>
      <w:r w:rsidR="005E2458" w:rsidRPr="00DD59EA">
        <w:rPr>
          <w:rFonts w:ascii="Palatino Linotype" w:hAnsi="Palatino Linotype" w:cs="Arial"/>
          <w:b/>
          <w:bCs/>
          <w:i/>
          <w:sz w:val="22"/>
          <w:szCs w:val="22"/>
        </w:rPr>
        <w:t>;</w:t>
      </w:r>
    </w:p>
    <w:p w:rsidR="005E2458" w:rsidRPr="00DD59EA" w:rsidRDefault="005E2458" w:rsidP="00DA47BB">
      <w:pPr>
        <w:ind w:left="851" w:right="902"/>
        <w:jc w:val="both"/>
        <w:rPr>
          <w:rFonts w:ascii="Palatino Linotype" w:hAnsi="Palatino Linotype" w:cs="Arial"/>
          <w:b/>
          <w:bCs/>
          <w:i/>
          <w:sz w:val="22"/>
          <w:szCs w:val="22"/>
        </w:rPr>
      </w:pPr>
      <w:r w:rsidRPr="00DD59EA">
        <w:rPr>
          <w:rFonts w:ascii="Palatino Linotype" w:hAnsi="Palatino Linotype" w:cs="Arial"/>
          <w:b/>
          <w:bCs/>
          <w:i/>
          <w:sz w:val="22"/>
          <w:szCs w:val="22"/>
        </w:rPr>
        <w:t>…</w:t>
      </w:r>
      <w:r w:rsidR="00472C04" w:rsidRPr="00DD59EA">
        <w:rPr>
          <w:rFonts w:ascii="Palatino Linotype" w:hAnsi="Palatino Linotype" w:cs="Arial"/>
          <w:b/>
          <w:bCs/>
          <w:i/>
          <w:sz w:val="22"/>
          <w:szCs w:val="22"/>
        </w:rPr>
        <w:t>”</w:t>
      </w:r>
    </w:p>
    <w:p w:rsidR="005E2458" w:rsidRPr="00DD59EA" w:rsidRDefault="005E2458" w:rsidP="00DA47BB">
      <w:pPr>
        <w:ind w:left="851" w:right="902"/>
        <w:jc w:val="both"/>
        <w:rPr>
          <w:rFonts w:ascii="Palatino Linotype" w:hAnsi="Palatino Linotype" w:cs="Arial"/>
          <w:bCs/>
          <w:i/>
          <w:sz w:val="22"/>
          <w:szCs w:val="22"/>
        </w:rPr>
      </w:pPr>
      <w:r w:rsidRPr="00DD59EA">
        <w:rPr>
          <w:rFonts w:ascii="Palatino Linotype" w:hAnsi="Palatino Linotype" w:cs="Arial"/>
          <w:bCs/>
          <w:i/>
          <w:sz w:val="22"/>
          <w:szCs w:val="22"/>
        </w:rPr>
        <w:t>(Énfasis añadido)</w:t>
      </w:r>
    </w:p>
    <w:p w:rsidR="008C0400" w:rsidRPr="00DD59EA" w:rsidRDefault="005E2458" w:rsidP="00DA47BB">
      <w:pPr>
        <w:autoSpaceDE w:val="0"/>
        <w:autoSpaceDN w:val="0"/>
        <w:adjustRightInd w:val="0"/>
        <w:spacing w:before="100" w:beforeAutospacing="1" w:after="100" w:afterAutospacing="1" w:line="360" w:lineRule="auto"/>
        <w:ind w:right="49"/>
        <w:jc w:val="both"/>
        <w:rPr>
          <w:rFonts w:ascii="Palatino Linotype" w:hAnsi="Palatino Linotype" w:cs="Arial"/>
        </w:rPr>
      </w:pPr>
      <w:r w:rsidRPr="00DD59EA">
        <w:rPr>
          <w:rFonts w:ascii="Palatino Linotype" w:hAnsi="Palatino Linotype" w:cs="Arial"/>
        </w:rPr>
        <w:lastRenderedPageBreak/>
        <w:t>El precepto legal citado, establece c</w:t>
      </w:r>
      <w:r w:rsidR="00472C04" w:rsidRPr="00DD59EA">
        <w:rPr>
          <w:rFonts w:ascii="Palatino Linotype" w:hAnsi="Palatino Linotype" w:cs="Arial"/>
        </w:rPr>
        <w:t>omo supuesto</w:t>
      </w:r>
      <w:r w:rsidRPr="00DD59EA">
        <w:rPr>
          <w:rFonts w:ascii="Palatino Linotype" w:hAnsi="Palatino Linotype" w:cs="Arial"/>
        </w:rPr>
        <w:t xml:space="preserve"> de procedencia de los recursos de rev</w:t>
      </w:r>
      <w:r w:rsidR="00472C04" w:rsidRPr="00DD59EA">
        <w:rPr>
          <w:rFonts w:ascii="Palatino Linotype" w:hAnsi="Palatino Linotype" w:cs="Arial"/>
        </w:rPr>
        <w:t xml:space="preserve">isión, aquellos casos en que </w:t>
      </w:r>
      <w:r w:rsidRPr="00DD59EA">
        <w:rPr>
          <w:rFonts w:ascii="Palatino Linotype" w:hAnsi="Palatino Linotype" w:cs="Arial"/>
        </w:rPr>
        <w:t xml:space="preserve">se </w:t>
      </w:r>
      <w:r w:rsidR="00472C04" w:rsidRPr="00DD59EA">
        <w:rPr>
          <w:rFonts w:ascii="Palatino Linotype" w:hAnsi="Palatino Linotype" w:cs="Arial"/>
        </w:rPr>
        <w:t xml:space="preserve">niegue el acceso a la información pública solicitada </w:t>
      </w:r>
      <w:r w:rsidRPr="00DD59EA">
        <w:rPr>
          <w:rFonts w:ascii="Palatino Linotype" w:hAnsi="Palatino Linotype" w:cs="Arial"/>
        </w:rPr>
        <w:t xml:space="preserve">por </w:t>
      </w:r>
      <w:r w:rsidR="00472C04" w:rsidRPr="00DD59EA">
        <w:rPr>
          <w:rFonts w:ascii="Palatino Linotype" w:hAnsi="Palatino Linotype" w:cs="Arial"/>
          <w:b/>
        </w:rPr>
        <w:t xml:space="preserve">LA </w:t>
      </w:r>
      <w:r w:rsidR="00F11D35" w:rsidRPr="00DD59EA">
        <w:rPr>
          <w:rFonts w:ascii="Palatino Linotype" w:hAnsi="Palatino Linotype" w:cs="Arial"/>
          <w:b/>
        </w:rPr>
        <w:t xml:space="preserve">RECURRENTE; </w:t>
      </w:r>
      <w:r w:rsidR="00F11D35" w:rsidRPr="00DD59EA">
        <w:rPr>
          <w:rFonts w:ascii="Palatino Linotype" w:hAnsi="Palatino Linotype" w:cs="Arial"/>
        </w:rPr>
        <w:t xml:space="preserve">por lo que, una vez determinado lo anterior, conviene recordar que la particular solicitó del </w:t>
      </w:r>
      <w:r w:rsidR="00F11D35" w:rsidRPr="00DD59EA">
        <w:rPr>
          <w:rFonts w:ascii="Palatino Linotype" w:hAnsi="Palatino Linotype" w:cs="Arial"/>
          <w:b/>
        </w:rPr>
        <w:t xml:space="preserve">SUJETO OBLIGADO </w:t>
      </w:r>
      <w:r w:rsidR="008C0400" w:rsidRPr="00DD59EA">
        <w:rPr>
          <w:rFonts w:ascii="Palatino Linotype" w:hAnsi="Palatino Linotype" w:cs="Arial"/>
        </w:rPr>
        <w:t>le entregara del servidor público referido en la solicitud de información lo siguiente:</w:t>
      </w:r>
    </w:p>
    <w:p w:rsidR="008C0400" w:rsidRPr="00DD59EA" w:rsidRDefault="008C0400" w:rsidP="008C0400">
      <w:pPr>
        <w:pStyle w:val="Prrafodelista"/>
        <w:numPr>
          <w:ilvl w:val="0"/>
          <w:numId w:val="10"/>
        </w:numPr>
        <w:autoSpaceDE w:val="0"/>
        <w:autoSpaceDN w:val="0"/>
        <w:adjustRightInd w:val="0"/>
        <w:spacing w:before="100" w:beforeAutospacing="1" w:after="100" w:afterAutospacing="1" w:line="360" w:lineRule="auto"/>
        <w:ind w:right="49"/>
        <w:jc w:val="both"/>
        <w:rPr>
          <w:rFonts w:ascii="Palatino Linotype" w:hAnsi="Palatino Linotype" w:cs="Arial"/>
        </w:rPr>
      </w:pPr>
      <w:r w:rsidRPr="00DD59EA">
        <w:rPr>
          <w:rFonts w:ascii="Palatino Linotype" w:hAnsi="Palatino Linotype" w:cs="Arial"/>
        </w:rPr>
        <w:t xml:space="preserve">El </w:t>
      </w:r>
      <w:r w:rsidR="0086006A" w:rsidRPr="00DD59EA">
        <w:rPr>
          <w:rFonts w:ascii="Palatino Linotype" w:hAnsi="Palatino Linotype" w:cs="Arial"/>
        </w:rPr>
        <w:t xml:space="preserve">documento </w:t>
      </w:r>
      <w:r w:rsidRPr="00DD59EA">
        <w:rPr>
          <w:rFonts w:ascii="Palatino Linotype" w:hAnsi="Palatino Linotype" w:cs="Arial"/>
        </w:rPr>
        <w:t xml:space="preserve">o documentos </w:t>
      </w:r>
      <w:r w:rsidR="0086006A" w:rsidRPr="00DD59EA">
        <w:rPr>
          <w:rFonts w:ascii="Palatino Linotype" w:hAnsi="Palatino Linotype" w:cs="Arial"/>
        </w:rPr>
        <w:t>en</w:t>
      </w:r>
      <w:r w:rsidRPr="00DD59EA">
        <w:rPr>
          <w:rFonts w:ascii="Palatino Linotype" w:hAnsi="Palatino Linotype" w:cs="Arial"/>
        </w:rPr>
        <w:t xml:space="preserve"> donde </w:t>
      </w:r>
      <w:r w:rsidR="0086006A" w:rsidRPr="00DD59EA">
        <w:rPr>
          <w:rFonts w:ascii="Palatino Linotype" w:hAnsi="Palatino Linotype" w:cs="Arial"/>
        </w:rPr>
        <w:t>conste o se pueda advertir las</w:t>
      </w:r>
      <w:r w:rsidR="00F11D35" w:rsidRPr="00DD59EA">
        <w:rPr>
          <w:rFonts w:ascii="Palatino Linotype" w:hAnsi="Palatino Linotype" w:cs="Arial"/>
        </w:rPr>
        <w:t xml:space="preserve"> cantidades a</w:t>
      </w:r>
      <w:r w:rsidR="0086006A" w:rsidRPr="00DD59EA">
        <w:rPr>
          <w:rFonts w:ascii="Palatino Linotype" w:hAnsi="Palatino Linotype" w:cs="Arial"/>
        </w:rPr>
        <w:t>deudadas por concepto de sueldo</w:t>
      </w:r>
      <w:r w:rsidR="00F11D35" w:rsidRPr="00DD59EA">
        <w:rPr>
          <w:rFonts w:ascii="Palatino Linotype" w:hAnsi="Palatino Linotype" w:cs="Arial"/>
        </w:rPr>
        <w:t xml:space="preserve"> al 7 de enero de 2019</w:t>
      </w:r>
      <w:r w:rsidR="009B7CA2" w:rsidRPr="00DD59EA">
        <w:rPr>
          <w:rStyle w:val="Refdenotaalpie"/>
          <w:rFonts w:ascii="Palatino Linotype" w:hAnsi="Palatino Linotype" w:cs="Arial"/>
        </w:rPr>
        <w:footnoteReference w:id="1"/>
      </w:r>
      <w:r w:rsidRPr="00DD59EA">
        <w:rPr>
          <w:rFonts w:ascii="Palatino Linotype" w:hAnsi="Palatino Linotype" w:cs="Arial"/>
        </w:rPr>
        <w:t>;</w:t>
      </w:r>
    </w:p>
    <w:p w:rsidR="008C0400" w:rsidRPr="00DD59EA" w:rsidRDefault="008C0400" w:rsidP="008C0400">
      <w:pPr>
        <w:pStyle w:val="Prrafodelista"/>
        <w:numPr>
          <w:ilvl w:val="0"/>
          <w:numId w:val="10"/>
        </w:numPr>
        <w:autoSpaceDE w:val="0"/>
        <w:autoSpaceDN w:val="0"/>
        <w:adjustRightInd w:val="0"/>
        <w:spacing w:before="100" w:beforeAutospacing="1" w:after="100" w:afterAutospacing="1" w:line="360" w:lineRule="auto"/>
        <w:ind w:right="49"/>
        <w:jc w:val="both"/>
        <w:rPr>
          <w:rFonts w:ascii="Palatino Linotype" w:hAnsi="Palatino Linotype" w:cs="Arial"/>
        </w:rPr>
      </w:pPr>
      <w:r w:rsidRPr="00DD59EA">
        <w:rPr>
          <w:rFonts w:ascii="Palatino Linotype" w:hAnsi="Palatino Linotype" w:cs="Arial"/>
        </w:rPr>
        <w:t>El documento o</w:t>
      </w:r>
      <w:r w:rsidR="009B7CA2" w:rsidRPr="00DD59EA">
        <w:rPr>
          <w:rFonts w:ascii="Palatino Linotype" w:hAnsi="Palatino Linotype" w:cs="Arial"/>
        </w:rPr>
        <w:t xml:space="preserve"> </w:t>
      </w:r>
      <w:r w:rsidRPr="00DD59EA">
        <w:rPr>
          <w:rFonts w:ascii="Palatino Linotype" w:hAnsi="Palatino Linotype" w:cs="Arial"/>
        </w:rPr>
        <w:t>documentos en donde conste o se pueda advertir el o los las fechas a partir de las cuales hubiera sido objeto de un aumento en su sueldo durante el periodo del 1 de enero al 31 de diciembre de 2018</w:t>
      </w:r>
      <w:r w:rsidRPr="00DD59EA">
        <w:rPr>
          <w:rStyle w:val="Refdenotaalpie"/>
          <w:rFonts w:ascii="Palatino Linotype" w:hAnsi="Palatino Linotype" w:cs="Arial"/>
        </w:rPr>
        <w:footnoteReference w:id="2"/>
      </w:r>
      <w:r w:rsidRPr="00DD59EA">
        <w:rPr>
          <w:rFonts w:ascii="Palatino Linotype" w:hAnsi="Palatino Linotype" w:cs="Arial"/>
        </w:rPr>
        <w:t>; y,</w:t>
      </w:r>
    </w:p>
    <w:p w:rsidR="008C0400" w:rsidRPr="00DD59EA" w:rsidRDefault="008C0400" w:rsidP="008C0400">
      <w:pPr>
        <w:pStyle w:val="Prrafodelista"/>
        <w:numPr>
          <w:ilvl w:val="0"/>
          <w:numId w:val="10"/>
        </w:numPr>
        <w:autoSpaceDE w:val="0"/>
        <w:autoSpaceDN w:val="0"/>
        <w:adjustRightInd w:val="0"/>
        <w:spacing w:before="100" w:beforeAutospacing="1" w:after="100" w:afterAutospacing="1" w:line="360" w:lineRule="auto"/>
        <w:ind w:right="49"/>
        <w:jc w:val="both"/>
        <w:rPr>
          <w:rFonts w:ascii="Palatino Linotype" w:hAnsi="Palatino Linotype" w:cs="Arial"/>
        </w:rPr>
      </w:pPr>
      <w:r w:rsidRPr="00DD59EA">
        <w:rPr>
          <w:rFonts w:ascii="Palatino Linotype" w:hAnsi="Palatino Linotype" w:cs="Arial"/>
        </w:rPr>
        <w:t>Las razones o motivos por las que existen adeudos.</w:t>
      </w:r>
    </w:p>
    <w:p w:rsidR="00A96413" w:rsidRPr="00DD59EA" w:rsidRDefault="009B7CA2"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A</w:t>
      </w:r>
      <w:r w:rsidR="00A96413" w:rsidRPr="00DD59EA">
        <w:rPr>
          <w:rFonts w:ascii="Palatino Linotype" w:hAnsi="Palatino Linotype" w:cs="Arial"/>
        </w:rPr>
        <w:t>sí</w:t>
      </w:r>
      <w:r w:rsidR="0070085B" w:rsidRPr="00DD59EA">
        <w:rPr>
          <w:rFonts w:ascii="Palatino Linotype" w:hAnsi="Palatino Linotype" w:cs="Arial"/>
        </w:rPr>
        <w:t>,</w:t>
      </w:r>
      <w:r w:rsidR="00A96413" w:rsidRPr="00DD59EA">
        <w:rPr>
          <w:rFonts w:ascii="Palatino Linotype" w:hAnsi="Palatino Linotype" w:cs="Arial"/>
        </w:rPr>
        <w:t xml:space="preserve"> de las constancias que obran en el </w:t>
      </w:r>
      <w:r w:rsidR="00A96413" w:rsidRPr="00DD59EA">
        <w:rPr>
          <w:rFonts w:ascii="Palatino Linotype" w:hAnsi="Palatino Linotype" w:cs="Arial"/>
          <w:b/>
        </w:rPr>
        <w:t>SAIMEX</w:t>
      </w:r>
      <w:r w:rsidR="00A96413" w:rsidRPr="00DD59EA">
        <w:rPr>
          <w:rFonts w:ascii="Palatino Linotype" w:hAnsi="Palatino Linotype" w:cs="Arial"/>
        </w:rPr>
        <w:t xml:space="preserve"> de los expedientes electrónicos </w:t>
      </w:r>
      <w:r w:rsidR="008C0400" w:rsidRPr="00DD59EA">
        <w:rPr>
          <w:rFonts w:ascii="Palatino Linotype" w:hAnsi="Palatino Linotype" w:cs="Arial"/>
        </w:rPr>
        <w:t xml:space="preserve">formados con motivo </w:t>
      </w:r>
      <w:r w:rsidR="00A96413" w:rsidRPr="00DD59EA">
        <w:rPr>
          <w:rFonts w:ascii="Palatino Linotype" w:hAnsi="Palatino Linotype" w:cs="Arial"/>
        </w:rPr>
        <w:t>de los recursos de revisión</w:t>
      </w:r>
      <w:r w:rsidR="008C0400" w:rsidRPr="00DD59EA">
        <w:rPr>
          <w:rFonts w:ascii="Palatino Linotype" w:hAnsi="Palatino Linotype" w:cs="Arial"/>
        </w:rPr>
        <w:t xml:space="preserve"> al rubro señalados</w:t>
      </w:r>
      <w:r w:rsidR="00A96413" w:rsidRPr="00DD59EA">
        <w:rPr>
          <w:rFonts w:ascii="Palatino Linotype" w:hAnsi="Palatino Linotype" w:cs="Arial"/>
        </w:rPr>
        <w:t>, se puede advertir que la Titular de la Unidad de Transparencia, turno ambas solicitudes de información a la Servidora Pública Habilitada del área de Recursos Humanos y Materiales misma que</w:t>
      </w:r>
      <w:r w:rsidR="004A463E" w:rsidRPr="00DD59EA">
        <w:rPr>
          <w:rFonts w:ascii="Palatino Linotype" w:hAnsi="Palatino Linotype" w:cs="Arial"/>
        </w:rPr>
        <w:t>,</w:t>
      </w:r>
      <w:r w:rsidR="00A96413" w:rsidRPr="00DD59EA">
        <w:rPr>
          <w:rFonts w:ascii="Palatino Linotype" w:hAnsi="Palatino Linotype" w:cs="Arial"/>
        </w:rPr>
        <w:t xml:space="preserve"> en respuesta manifestó que</w:t>
      </w:r>
      <w:r w:rsidR="004A463E" w:rsidRPr="00DD59EA">
        <w:rPr>
          <w:rFonts w:ascii="Palatino Linotype" w:hAnsi="Palatino Linotype" w:cs="Arial"/>
        </w:rPr>
        <w:t>,</w:t>
      </w:r>
      <w:r w:rsidR="00A96413" w:rsidRPr="00DD59EA">
        <w:rPr>
          <w:rFonts w:ascii="Palatino Linotype" w:hAnsi="Palatino Linotype" w:cs="Arial"/>
        </w:rPr>
        <w:t xml:space="preserve"> de conformidad con la Ley de Transparencia y Acceso a la Información Pública del Estado de México y Municipios</w:t>
      </w:r>
      <w:r w:rsidR="0070085B" w:rsidRPr="00DD59EA">
        <w:rPr>
          <w:rFonts w:ascii="Palatino Linotype" w:hAnsi="Palatino Linotype" w:cs="Arial"/>
        </w:rPr>
        <w:t>;</w:t>
      </w:r>
      <w:r w:rsidR="00A96413" w:rsidRPr="00DD59EA">
        <w:rPr>
          <w:rFonts w:ascii="Palatino Linotype" w:hAnsi="Palatino Linotype" w:cs="Arial"/>
        </w:rPr>
        <w:t xml:space="preserve"> así como</w:t>
      </w:r>
      <w:r w:rsidR="0070085B" w:rsidRPr="00DD59EA">
        <w:rPr>
          <w:rFonts w:ascii="Palatino Linotype" w:hAnsi="Palatino Linotype" w:cs="Arial"/>
        </w:rPr>
        <w:t>,</w:t>
      </w:r>
      <w:r w:rsidR="00A96413" w:rsidRPr="00DD59EA">
        <w:rPr>
          <w:rFonts w:ascii="Palatino Linotype" w:hAnsi="Palatino Linotype" w:cs="Arial"/>
        </w:rPr>
        <w:t xml:space="preserve"> del Manual </w:t>
      </w:r>
      <w:r w:rsidR="0028442D" w:rsidRPr="00DD59EA">
        <w:rPr>
          <w:rFonts w:ascii="Palatino Linotype" w:hAnsi="Palatino Linotype" w:cs="Arial"/>
        </w:rPr>
        <w:t>General de Organización de la Universidad Politécnica del Valle de Toluca, dicha área no contaba con documento alguno en el que constara la información solicitada.</w:t>
      </w:r>
    </w:p>
    <w:p w:rsidR="0028442D" w:rsidRPr="00DD59EA" w:rsidRDefault="0028442D"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lastRenderedPageBreak/>
        <w:t>Inconforme con dichas respuestas</w:t>
      </w:r>
      <w:r w:rsidR="004A463E" w:rsidRPr="00DD59EA">
        <w:rPr>
          <w:rFonts w:ascii="Palatino Linotype" w:hAnsi="Palatino Linotype" w:cs="Arial"/>
        </w:rPr>
        <w:t>,</w:t>
      </w:r>
      <w:r w:rsidRPr="00DD59EA">
        <w:rPr>
          <w:rFonts w:ascii="Palatino Linotype" w:hAnsi="Palatino Linotype" w:cs="Arial"/>
          <w:b/>
        </w:rPr>
        <w:t xml:space="preserve"> LA RECURRENTE</w:t>
      </w:r>
      <w:r w:rsidRPr="00DD59EA">
        <w:rPr>
          <w:rFonts w:ascii="Palatino Linotype" w:hAnsi="Palatino Linotype" w:cs="Arial"/>
        </w:rPr>
        <w:t xml:space="preserve"> procedió a interponer los recursos de revisión</w:t>
      </w:r>
      <w:r w:rsidR="004A463E" w:rsidRPr="00DD59EA">
        <w:rPr>
          <w:rFonts w:ascii="Palatino Linotype" w:hAnsi="Palatino Linotype" w:cs="Arial"/>
        </w:rPr>
        <w:t xml:space="preserve"> de mérito</w:t>
      </w:r>
      <w:r w:rsidRPr="00DD59EA">
        <w:rPr>
          <w:rFonts w:ascii="Palatino Linotype" w:hAnsi="Palatino Linotype" w:cs="Arial"/>
        </w:rPr>
        <w:t>, señalando como actos impugnados y razones o motivos de inconformidad lo establecido en el Resultando V de la presente resolución.</w:t>
      </w:r>
    </w:p>
    <w:p w:rsidR="0028442D" w:rsidRPr="00DD59EA" w:rsidRDefault="0028442D" w:rsidP="00DA47BB">
      <w:pPr>
        <w:spacing w:before="100" w:beforeAutospacing="1" w:after="100" w:afterAutospacing="1" w:line="360" w:lineRule="auto"/>
        <w:jc w:val="both"/>
        <w:rPr>
          <w:rFonts w:ascii="Palatino Linotype" w:hAnsi="Palatino Linotype" w:cs="Arial"/>
          <w:lang w:eastAsia="es-MX"/>
        </w:rPr>
      </w:pPr>
      <w:r w:rsidRPr="00DD59EA">
        <w:rPr>
          <w:rFonts w:ascii="Palatino Linotype" w:hAnsi="Palatino Linotype" w:cs="Arial"/>
          <w:lang w:eastAsia="es-MX"/>
        </w:rPr>
        <w:t xml:space="preserve">Bajo ese tenor, es necesario precisar que </w:t>
      </w:r>
      <w:r w:rsidRPr="00DD59EA">
        <w:rPr>
          <w:rFonts w:ascii="Palatino Linotype" w:hAnsi="Palatino Linotype" w:cs="Arial"/>
          <w:b/>
          <w:lang w:eastAsia="es-MX"/>
        </w:rPr>
        <w:t xml:space="preserve">LA RECURRENTE </w:t>
      </w:r>
      <w:r w:rsidRPr="00DD59EA">
        <w:rPr>
          <w:rFonts w:ascii="Palatino Linotype" w:hAnsi="Palatino Linotype" w:cs="Arial"/>
          <w:lang w:eastAsia="es-MX"/>
        </w:rPr>
        <w:t xml:space="preserve">fue omisa en realizar manifestaciones en torno a los recursos de revisión objeto del presente estudio. </w:t>
      </w:r>
      <w:r w:rsidR="0070085B" w:rsidRPr="00DD59EA">
        <w:rPr>
          <w:rFonts w:ascii="Palatino Linotype" w:hAnsi="Palatino Linotype" w:cs="Arial"/>
          <w:lang w:eastAsia="es-MX"/>
        </w:rPr>
        <w:t>P</w:t>
      </w:r>
      <w:r w:rsidRPr="00DD59EA">
        <w:rPr>
          <w:rFonts w:ascii="Palatino Linotype" w:hAnsi="Palatino Linotype" w:cs="Arial"/>
          <w:lang w:eastAsia="es-MX"/>
        </w:rPr>
        <w:t>or su parte</w:t>
      </w:r>
      <w:r w:rsidR="004A463E" w:rsidRPr="00DD59EA">
        <w:rPr>
          <w:rFonts w:ascii="Palatino Linotype" w:hAnsi="Palatino Linotype" w:cs="Arial"/>
          <w:lang w:eastAsia="es-MX"/>
        </w:rPr>
        <w:t>,</w:t>
      </w:r>
      <w:r w:rsidRPr="00DD59EA">
        <w:rPr>
          <w:rFonts w:ascii="Palatino Linotype" w:hAnsi="Palatino Linotype" w:cs="Arial"/>
          <w:lang w:eastAsia="es-MX"/>
        </w:rPr>
        <w:t xml:space="preserve"> </w:t>
      </w:r>
      <w:r w:rsidRPr="00DD59EA">
        <w:rPr>
          <w:rFonts w:ascii="Palatino Linotype" w:hAnsi="Palatino Linotype" w:cs="Arial"/>
          <w:b/>
          <w:lang w:eastAsia="es-MX"/>
        </w:rPr>
        <w:t xml:space="preserve">EL SUJETO OBLIGADO </w:t>
      </w:r>
      <w:r w:rsidR="0070085B" w:rsidRPr="00DD59EA">
        <w:rPr>
          <w:rFonts w:ascii="Palatino Linotype" w:hAnsi="Palatino Linotype" w:cs="Arial"/>
          <w:lang w:eastAsia="es-MX"/>
        </w:rPr>
        <w:t>ratificó sus respuestas</w:t>
      </w:r>
      <w:r w:rsidR="004A463E" w:rsidRPr="00DD59EA">
        <w:rPr>
          <w:rFonts w:ascii="Palatino Linotype" w:hAnsi="Palatino Linotype" w:cs="Arial"/>
          <w:lang w:eastAsia="es-MX"/>
        </w:rPr>
        <w:t>,</w:t>
      </w:r>
      <w:r w:rsidRPr="00DD59EA">
        <w:rPr>
          <w:rFonts w:ascii="Palatino Linotype" w:hAnsi="Palatino Linotype" w:cs="Arial"/>
          <w:lang w:eastAsia="es-MX"/>
        </w:rPr>
        <w:t xml:space="preserve"> a través de </w:t>
      </w:r>
      <w:r w:rsidR="0070085B" w:rsidRPr="00DD59EA">
        <w:rPr>
          <w:rFonts w:ascii="Palatino Linotype" w:hAnsi="Palatino Linotype" w:cs="Arial"/>
          <w:lang w:eastAsia="es-MX"/>
        </w:rPr>
        <w:t xml:space="preserve">los </w:t>
      </w:r>
      <w:r w:rsidRPr="00DD59EA">
        <w:rPr>
          <w:rFonts w:ascii="Palatino Linotype" w:hAnsi="Palatino Linotype" w:cs="Arial"/>
          <w:lang w:eastAsia="es-MX"/>
        </w:rPr>
        <w:t>Informes Justificados.</w:t>
      </w:r>
    </w:p>
    <w:p w:rsidR="0070085B" w:rsidRPr="00DD59EA" w:rsidRDefault="005011E1" w:rsidP="00DA47BB">
      <w:pPr>
        <w:spacing w:before="100" w:beforeAutospacing="1" w:after="100" w:afterAutospacing="1" w:line="360" w:lineRule="auto"/>
        <w:jc w:val="both"/>
        <w:rPr>
          <w:rFonts w:ascii="Palatino Linotype" w:hAnsi="Palatino Linotype"/>
        </w:rPr>
      </w:pPr>
      <w:r w:rsidRPr="00DD59EA">
        <w:rPr>
          <w:rFonts w:ascii="Palatino Linotype" w:hAnsi="Palatino Linotype" w:cs="Arial"/>
          <w:lang w:eastAsia="es-MX"/>
        </w:rPr>
        <w:t xml:space="preserve">Ahora bien, en primer término </w:t>
      </w:r>
      <w:r w:rsidRPr="00DD59EA">
        <w:rPr>
          <w:rFonts w:ascii="Palatino Linotype" w:hAnsi="Palatino Linotype" w:cs="Arial"/>
          <w:bCs/>
          <w:szCs w:val="22"/>
        </w:rPr>
        <w:t xml:space="preserve">este Órgano Garante advierte que, las razones o motivos de inconformidad planteadas por </w:t>
      </w:r>
      <w:r w:rsidR="0070085B" w:rsidRPr="00DD59EA">
        <w:rPr>
          <w:rFonts w:ascii="Palatino Linotype" w:hAnsi="Palatino Linotype" w:cs="Arial"/>
          <w:b/>
          <w:bCs/>
          <w:szCs w:val="22"/>
        </w:rPr>
        <w:t>LA</w:t>
      </w:r>
      <w:r w:rsidRPr="00DD59EA">
        <w:rPr>
          <w:rFonts w:ascii="Palatino Linotype" w:hAnsi="Palatino Linotype" w:cs="Arial"/>
          <w:b/>
          <w:bCs/>
          <w:szCs w:val="22"/>
        </w:rPr>
        <w:t xml:space="preserve"> RECURRENTE</w:t>
      </w:r>
      <w:r w:rsidRPr="00DD59EA">
        <w:rPr>
          <w:rFonts w:ascii="Palatino Linotype" w:hAnsi="Palatino Linotype" w:cs="Arial"/>
          <w:bCs/>
          <w:szCs w:val="22"/>
        </w:rPr>
        <w:t xml:space="preserve"> resultan </w:t>
      </w:r>
      <w:r w:rsidR="0070085B" w:rsidRPr="00DD59EA">
        <w:rPr>
          <w:rFonts w:ascii="Palatino Linotype" w:hAnsi="Palatino Linotype" w:cs="Arial"/>
          <w:b/>
          <w:bCs/>
          <w:szCs w:val="22"/>
        </w:rPr>
        <w:t xml:space="preserve">parcialmente </w:t>
      </w:r>
      <w:r w:rsidRPr="00DD59EA">
        <w:rPr>
          <w:rFonts w:ascii="Palatino Linotype" w:hAnsi="Palatino Linotype" w:cs="Arial"/>
          <w:b/>
          <w:bCs/>
          <w:szCs w:val="22"/>
        </w:rPr>
        <w:t>fundadas</w:t>
      </w:r>
      <w:r w:rsidRPr="00DD59EA">
        <w:rPr>
          <w:rFonts w:ascii="Palatino Linotype" w:hAnsi="Palatino Linotype" w:cs="Arial"/>
          <w:bCs/>
          <w:szCs w:val="22"/>
        </w:rPr>
        <w:t xml:space="preserve">, en atención a </w:t>
      </w:r>
      <w:r w:rsidR="0070085B" w:rsidRPr="00DD59EA">
        <w:rPr>
          <w:rFonts w:ascii="Palatino Linotype" w:hAnsi="Palatino Linotype" w:cs="Arial"/>
          <w:bCs/>
          <w:szCs w:val="22"/>
        </w:rPr>
        <w:t xml:space="preserve">que refirió </w:t>
      </w:r>
      <w:r w:rsidR="0070085B" w:rsidRPr="00DD59EA">
        <w:rPr>
          <w:rFonts w:ascii="Palatino Linotype" w:hAnsi="Palatino Linotype" w:cs="Arial"/>
          <w:i/>
        </w:rPr>
        <w:t xml:space="preserve">“Y los salarios </w:t>
      </w:r>
      <w:proofErr w:type="spellStart"/>
      <w:r w:rsidR="0070085B" w:rsidRPr="00DD59EA">
        <w:rPr>
          <w:rFonts w:ascii="Palatino Linotype" w:hAnsi="Palatino Linotype" w:cs="Arial"/>
          <w:i/>
        </w:rPr>
        <w:t>caidos</w:t>
      </w:r>
      <w:proofErr w:type="spellEnd"/>
      <w:r w:rsidR="0070085B" w:rsidRPr="00DD59EA">
        <w:rPr>
          <w:rFonts w:ascii="Palatino Linotype" w:hAnsi="Palatino Linotype" w:cs="Arial"/>
          <w:i/>
        </w:rPr>
        <w:t xml:space="preserve"> no es deber, </w:t>
      </w:r>
      <w:proofErr w:type="spellStart"/>
      <w:r w:rsidR="0070085B" w:rsidRPr="00DD59EA">
        <w:rPr>
          <w:rFonts w:ascii="Palatino Linotype" w:hAnsi="Palatino Linotype" w:cs="Arial"/>
          <w:i/>
        </w:rPr>
        <w:t>faor</w:t>
      </w:r>
      <w:proofErr w:type="spellEnd"/>
      <w:r w:rsidR="0070085B" w:rsidRPr="00DD59EA">
        <w:rPr>
          <w:rFonts w:ascii="Palatino Linotype" w:hAnsi="Palatino Linotype" w:cs="Arial"/>
          <w:i/>
        </w:rPr>
        <w:t xml:space="preserve"> de no negar la información.” (Sic)</w:t>
      </w:r>
      <w:r w:rsidR="00806F25" w:rsidRPr="00DD59EA">
        <w:rPr>
          <w:rFonts w:ascii="Palatino Linotype" w:hAnsi="Palatino Linotype" w:cs="Arial"/>
        </w:rPr>
        <w:t xml:space="preserve">; así como también, </w:t>
      </w:r>
      <w:r w:rsidR="0070085B" w:rsidRPr="00DD59EA">
        <w:rPr>
          <w:rFonts w:ascii="Palatino Linotype" w:hAnsi="Palatino Linotype" w:cs="Arial"/>
          <w:i/>
          <w:sz w:val="22"/>
        </w:rPr>
        <w:t>“</w:t>
      </w:r>
      <w:proofErr w:type="spellStart"/>
      <w:r w:rsidR="0070085B" w:rsidRPr="00DD59EA">
        <w:rPr>
          <w:rFonts w:ascii="Palatino Linotype" w:hAnsi="Palatino Linotype" w:cs="Arial"/>
          <w:i/>
          <w:sz w:val="22"/>
        </w:rPr>
        <w:t>Osea</w:t>
      </w:r>
      <w:proofErr w:type="spellEnd"/>
      <w:r w:rsidR="0070085B" w:rsidRPr="00DD59EA">
        <w:rPr>
          <w:rFonts w:ascii="Palatino Linotype" w:hAnsi="Palatino Linotype" w:cs="Arial"/>
          <w:i/>
          <w:sz w:val="22"/>
        </w:rPr>
        <w:t xml:space="preserve"> que a este trabajador no se le </w:t>
      </w:r>
      <w:proofErr w:type="spellStart"/>
      <w:r w:rsidR="0070085B" w:rsidRPr="00DD59EA">
        <w:rPr>
          <w:rFonts w:ascii="Palatino Linotype" w:hAnsi="Palatino Linotype" w:cs="Arial"/>
          <w:i/>
          <w:sz w:val="22"/>
        </w:rPr>
        <w:t>subio</w:t>
      </w:r>
      <w:proofErr w:type="spellEnd"/>
      <w:r w:rsidR="0070085B" w:rsidRPr="00DD59EA">
        <w:rPr>
          <w:rFonts w:ascii="Palatino Linotype" w:hAnsi="Palatino Linotype" w:cs="Arial"/>
          <w:i/>
          <w:sz w:val="22"/>
        </w:rPr>
        <w:t xml:space="preserve"> el sueldo y se violaron sus derechos en materia laboral, gracias una prueba más de su incriminación.” (Sic)</w:t>
      </w:r>
      <w:r w:rsidR="00806F25" w:rsidRPr="00DD59EA">
        <w:rPr>
          <w:rFonts w:ascii="Palatino Linotype" w:hAnsi="Palatino Linotype" w:cs="Arial"/>
          <w:bCs/>
          <w:szCs w:val="22"/>
        </w:rPr>
        <w:t xml:space="preserve"> </w:t>
      </w:r>
      <w:r w:rsidR="0070085B" w:rsidRPr="00DD59EA">
        <w:rPr>
          <w:rFonts w:ascii="Palatino Linotype" w:hAnsi="Palatino Linotype"/>
        </w:rPr>
        <w:t xml:space="preserve">manifestaciones </w:t>
      </w:r>
      <w:r w:rsidR="00CC4448" w:rsidRPr="00DD59EA">
        <w:rPr>
          <w:rFonts w:ascii="Palatino Linotype" w:hAnsi="Palatino Linotype"/>
        </w:rPr>
        <w:t xml:space="preserve">unilaterales en el ejercicio de su derecho a la libertad de </w:t>
      </w:r>
      <w:r w:rsidR="0070085B" w:rsidRPr="00DD59EA">
        <w:rPr>
          <w:rFonts w:ascii="Palatino Linotype" w:hAnsi="Palatino Linotype"/>
          <w:color w:val="000000"/>
        </w:rPr>
        <w:t xml:space="preserve">expresión; por lo que, </w:t>
      </w:r>
      <w:r w:rsidR="0070085B" w:rsidRPr="00DD59EA">
        <w:rPr>
          <w:rFonts w:ascii="Palatino Linotype" w:hAnsi="Palatino Linotype" w:cs="Arial"/>
        </w:rPr>
        <w:t xml:space="preserve">resultan ser manifestaciones </w:t>
      </w:r>
      <w:r w:rsidR="00CC4448" w:rsidRPr="00DD59EA">
        <w:rPr>
          <w:rFonts w:ascii="Palatino Linotype" w:hAnsi="Palatino Linotype" w:cs="Arial"/>
        </w:rPr>
        <w:t>subjetivas</w:t>
      </w:r>
      <w:r w:rsidR="0070085B" w:rsidRPr="00DD59EA">
        <w:rPr>
          <w:rFonts w:ascii="Palatino Linotype" w:hAnsi="Palatino Linotype" w:cs="Arial"/>
        </w:rPr>
        <w:t xml:space="preserve">, en virtud de que no es posible que tanto </w:t>
      </w:r>
      <w:r w:rsidR="0070085B" w:rsidRPr="00DD59EA">
        <w:rPr>
          <w:rFonts w:ascii="Palatino Linotype" w:hAnsi="Palatino Linotype" w:cs="Arial"/>
          <w:b/>
        </w:rPr>
        <w:t xml:space="preserve">EL SUJETO OBLIGADO </w:t>
      </w:r>
      <w:r w:rsidR="0070085B" w:rsidRPr="00DD59EA">
        <w:rPr>
          <w:rFonts w:ascii="Palatino Linotype" w:hAnsi="Palatino Linotype" w:cs="Arial"/>
        </w:rPr>
        <w:t xml:space="preserve">como este Órgano Garante </w:t>
      </w:r>
      <w:r w:rsidR="00CC4448" w:rsidRPr="00DD59EA">
        <w:rPr>
          <w:rFonts w:ascii="Palatino Linotype" w:hAnsi="Palatino Linotype" w:cs="Arial"/>
        </w:rPr>
        <w:t>puedan pronunciarse al respecto.</w:t>
      </w:r>
    </w:p>
    <w:p w:rsidR="0070085B" w:rsidRPr="00DD59EA" w:rsidRDefault="0070085B" w:rsidP="00DA47BB">
      <w:pPr>
        <w:pStyle w:val="Prrafodelista"/>
        <w:widowControl w:val="0"/>
        <w:autoSpaceDE w:val="0"/>
        <w:autoSpaceDN w:val="0"/>
        <w:adjustRightInd w:val="0"/>
        <w:spacing w:before="100" w:beforeAutospacing="1" w:after="100" w:afterAutospacing="1" w:line="360" w:lineRule="auto"/>
        <w:ind w:left="0"/>
        <w:contextualSpacing w:val="0"/>
        <w:jc w:val="both"/>
        <w:rPr>
          <w:rFonts w:ascii="Arial" w:hAnsi="Arial" w:cs="Arial"/>
          <w:lang w:eastAsia="es-MX"/>
        </w:rPr>
      </w:pPr>
      <w:r w:rsidRPr="00DD59EA">
        <w:rPr>
          <w:rFonts w:ascii="Palatino Linotype" w:hAnsi="Palatino Linotype" w:cs="Arial"/>
          <w:lang w:eastAsia="es-MX"/>
        </w:rPr>
        <w:t xml:space="preserve">En apoyo a lo anterior, </w:t>
      </w:r>
      <w:r w:rsidRPr="00DD59EA">
        <w:rPr>
          <w:rFonts w:ascii="Palatino Linotype" w:hAnsi="Palatino Linotype" w:cs="Arial"/>
        </w:rPr>
        <w:t>resulta</w:t>
      </w:r>
      <w:r w:rsidRPr="00DD59EA">
        <w:rPr>
          <w:rFonts w:ascii="Palatino Linotype" w:hAnsi="Palatino Linotype" w:cs="Arial"/>
          <w:lang w:eastAsia="es-MX"/>
        </w:rPr>
        <w:t xml:space="preserve"> aplicable por analogía la Jurisprudencia con número de registro 2003302, de la Décima Época, sustentada por la Primera Sala de la Suprema Corte de Justicia de la Nación, visible en la página 537, libro XIX, Tomo 1, de abril de 2013, del Semanario Judicial de la Federación y su Gaceta, la cual es del tenor literal siguiente:</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iCs/>
          <w:sz w:val="22"/>
          <w:szCs w:val="22"/>
          <w:lang w:eastAsia="es-MX"/>
        </w:rPr>
        <w:t>“</w:t>
      </w:r>
      <w:r w:rsidRPr="00DD59EA">
        <w:rPr>
          <w:rFonts w:ascii="Palatino Linotype" w:hAnsi="Palatino Linotype" w:cs="Arial"/>
          <w:b/>
          <w:i/>
          <w:sz w:val="22"/>
          <w:szCs w:val="22"/>
          <w:lang w:eastAsia="es-MX"/>
        </w:rPr>
        <w:t>LIBERTAD DE EXPRESIÓN. LA CONSTITUCIÓN NO RECONOCE EL DERECHO AL INSULTO</w:t>
      </w:r>
      <w:r w:rsidRPr="00DD59EA">
        <w:rPr>
          <w:rFonts w:ascii="Palatino Linotype" w:hAnsi="Palatino Linotype" w:cs="Arial"/>
          <w:i/>
          <w:sz w:val="22"/>
          <w:szCs w:val="22"/>
          <w:lang w:eastAsia="es-MX"/>
        </w:rPr>
        <w:t xml:space="preserve">. </w:t>
      </w:r>
      <w:r w:rsidRPr="00DD59EA">
        <w:rPr>
          <w:rFonts w:ascii="Palatino Linotype" w:hAnsi="Palatino Linotype" w:cs="Arial"/>
          <w:b/>
          <w:i/>
          <w:sz w:val="22"/>
          <w:szCs w:val="22"/>
          <w:lang w:eastAsia="es-MX"/>
        </w:rPr>
        <w:t>Si bien es cierto que</w:t>
      </w:r>
      <w:r w:rsidRPr="00DD59EA">
        <w:rPr>
          <w:rFonts w:ascii="Palatino Linotype" w:hAnsi="Palatino Linotype" w:cs="Arial"/>
          <w:i/>
          <w:sz w:val="22"/>
          <w:szCs w:val="22"/>
          <w:lang w:eastAsia="es-MX"/>
        </w:rPr>
        <w:t xml:space="preserve"> cualquier individuo que participe en un debate público de interés general debe abstenerse de exceder ciertos </w:t>
      </w:r>
      <w:r w:rsidRPr="00DD59EA">
        <w:rPr>
          <w:rFonts w:ascii="Palatino Linotype" w:hAnsi="Palatino Linotype" w:cs="Arial"/>
          <w:i/>
          <w:sz w:val="22"/>
          <w:szCs w:val="22"/>
          <w:lang w:eastAsia="es-MX"/>
        </w:rPr>
        <w:lastRenderedPageBreak/>
        <w:t xml:space="preserve">límites, como el respeto a la reputación y a los derechos de terceros, también lo es que </w:t>
      </w:r>
      <w:r w:rsidRPr="00DD59EA">
        <w:rPr>
          <w:rFonts w:ascii="Palatino Linotype" w:hAnsi="Palatino Linotype" w:cs="Arial"/>
          <w:b/>
          <w:i/>
          <w:sz w:val="22"/>
          <w:szCs w:val="22"/>
          <w:lang w:eastAsia="es-MX"/>
        </w:rPr>
        <w:t>está permitido recurrir a cierta dosis de exageración, incluso de provocación</w:t>
      </w:r>
      <w:r w:rsidRPr="00DD59EA">
        <w:rPr>
          <w:rFonts w:ascii="Palatino Linotype" w:hAnsi="Palatino Linotype" w:cs="Arial"/>
          <w:i/>
          <w:sz w:val="22"/>
          <w:szCs w:val="22"/>
          <w:lang w:eastAsia="es-MX"/>
        </w:rPr>
        <w:t xml:space="preserve">, es decir, puede ser un tanto desmedido en sus declaraciones, </w:t>
      </w:r>
      <w:r w:rsidRPr="00DD59EA">
        <w:rPr>
          <w:rFonts w:ascii="Palatino Linotype" w:hAnsi="Palatino Linotype" w:cs="Arial"/>
          <w:b/>
          <w:i/>
          <w:sz w:val="22"/>
          <w:szCs w:val="22"/>
          <w:lang w:eastAsia="es-MX"/>
        </w:rPr>
        <w:t>y es precisamente en las expresiones que puedan ofender, chocar, perturbar, molestar, inquietar o disgustar donde la libertad de expresión resulta más valiosa</w:t>
      </w:r>
      <w:r w:rsidRPr="00DD59EA">
        <w:rPr>
          <w:rFonts w:ascii="Palatino Linotype" w:hAnsi="Palatino Linotype" w:cs="Arial"/>
          <w:i/>
          <w:sz w:val="22"/>
          <w:szCs w:val="22"/>
          <w:lang w:eastAsia="es-MX"/>
        </w:rPr>
        <w:t xml:space="preserve">. Así pues, no todas las críticas que supuestamente agravien a una persona, grupo, o incluso a la sociedad o al Estado pueden ser descalificadas y objeto de responsabilidad legal, aunque el uso de la libertad de expresión para criticar o atacar mediante el empleo de términos excesivamente fuertes y sin articular una opinión, puede conllevar una sanción que no resultaría violatoria de la libertad de expresión. </w:t>
      </w:r>
      <w:r w:rsidRPr="00DD59EA">
        <w:rPr>
          <w:rFonts w:ascii="Palatino Linotype" w:hAnsi="Palatino Linotype" w:cs="Arial"/>
          <w:b/>
          <w:i/>
          <w:sz w:val="22"/>
          <w:szCs w:val="22"/>
          <w:lang w:eastAsia="es-MX"/>
        </w:rPr>
        <w:t xml:space="preserve">En este sentido, es importante enfatizar que la Constitución </w:t>
      </w:r>
      <w:r w:rsidRPr="00DD59EA">
        <w:rPr>
          <w:rFonts w:ascii="Palatino Linotype" w:hAnsi="Palatino Linotype" w:cs="Arial"/>
          <w:i/>
          <w:sz w:val="22"/>
          <w:szCs w:val="22"/>
          <w:lang w:eastAsia="es-MX"/>
        </w:rPr>
        <w:t xml:space="preserve">Política de los Estados Unidos Mexicanos </w:t>
      </w:r>
      <w:r w:rsidRPr="00DD59EA">
        <w:rPr>
          <w:rFonts w:ascii="Palatino Linotype" w:hAnsi="Palatino Linotype" w:cs="Arial"/>
          <w:b/>
          <w:i/>
          <w:sz w:val="22"/>
          <w:szCs w:val="22"/>
          <w:lang w:eastAsia="es-MX"/>
        </w:rPr>
        <w:t>no reconoce un derecho al insulto</w:t>
      </w:r>
      <w:r w:rsidRPr="00DD59EA">
        <w:rPr>
          <w:rFonts w:ascii="Palatino Linotype" w:hAnsi="Palatino Linotype" w:cs="Arial"/>
          <w:i/>
          <w:sz w:val="22"/>
          <w:szCs w:val="22"/>
          <w:lang w:eastAsia="es-MX"/>
        </w:rPr>
        <w:t xml:space="preserve"> o a la injuria gratuita, sin embargo, tampoco veda expresiones inusuales, alternativas, indecentes, escandalosas, excéntricas o simplemente contrarias a las creencias y posturas mayoritarias, aun cuando se expresen acompañadas de expresiones no verbales, sino simbólicas. </w:t>
      </w:r>
      <w:r w:rsidRPr="00DD59EA">
        <w:rPr>
          <w:rFonts w:ascii="Palatino Linotype" w:hAnsi="Palatino Linotype" w:cs="Arial"/>
          <w:b/>
          <w:i/>
          <w:sz w:val="22"/>
          <w:szCs w:val="22"/>
          <w:lang w:eastAsia="es-MX"/>
        </w:rPr>
        <w:t>Consecuentemente, el derecho al honor prevalece cuando la libertad de expresión utiliza frases y expresiones que están excluidas de protección constitucional</w:t>
      </w:r>
      <w:r w:rsidRPr="00DD59EA">
        <w:rPr>
          <w:rFonts w:ascii="Palatino Linotype" w:hAnsi="Palatino Linotype" w:cs="Arial"/>
          <w:i/>
          <w:sz w:val="22"/>
          <w:szCs w:val="22"/>
          <w:lang w:eastAsia="es-MX"/>
        </w:rPr>
        <w:t xml:space="preserve">, es decir, </w:t>
      </w:r>
      <w:r w:rsidRPr="00DD59EA">
        <w:rPr>
          <w:rFonts w:ascii="Palatino Linotype" w:hAnsi="Palatino Linotype" w:cs="Arial"/>
          <w:b/>
          <w:i/>
          <w:sz w:val="22"/>
          <w:szCs w:val="22"/>
          <w:lang w:eastAsia="es-MX"/>
        </w:rPr>
        <w:t>cuando sean absolutamente vejatorias</w:t>
      </w:r>
      <w:r w:rsidRPr="00DD59EA">
        <w:rPr>
          <w:rFonts w:ascii="Palatino Linotype" w:hAnsi="Palatino Linotype" w:cs="Arial"/>
          <w:i/>
          <w:sz w:val="22"/>
          <w:szCs w:val="22"/>
          <w:lang w:eastAsia="es-MX"/>
        </w:rPr>
        <w:t xml:space="preserve">, entendiendo como tales las que sean: </w:t>
      </w:r>
      <w:r w:rsidRPr="00DD59EA">
        <w:rPr>
          <w:rFonts w:ascii="Palatino Linotype" w:hAnsi="Palatino Linotype" w:cs="Arial"/>
          <w:b/>
          <w:i/>
          <w:sz w:val="22"/>
          <w:szCs w:val="22"/>
          <w:lang w:eastAsia="es-MX"/>
        </w:rPr>
        <w:t>a) ofensivas u oprobiosas, según el contexto; y, b) impertinentes para expresar opiniones o informaciones, según tengan o no relación con lo manifestado</w:t>
      </w:r>
      <w:r w:rsidRPr="00DD59EA">
        <w:rPr>
          <w:rFonts w:ascii="Palatino Linotype" w:hAnsi="Palatino Linotype" w:cs="Arial"/>
          <w:i/>
          <w:sz w:val="22"/>
          <w:szCs w:val="22"/>
          <w:lang w:eastAsia="es-MX"/>
        </w:rPr>
        <w:t>. Respecto del citado contexto, su importancia estriba en que la situación política o social de un Estado y las circunstancias concurrentes a la publicación de la nota pueden disminuir la significación ofensiva y aumentar el grado de tolerancia.</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sz w:val="22"/>
          <w:szCs w:val="22"/>
          <w:lang w:eastAsia="es-MX"/>
        </w:rPr>
        <w:t xml:space="preserve">Amparo directo 28/2010. Demos, Desarrollo de Medios, S.A. de C.V. 23 de noviembre de 2011. Mayoría de cuatro votos. Disidente: Guillermo I. Ortiz </w:t>
      </w:r>
      <w:proofErr w:type="spellStart"/>
      <w:r w:rsidRPr="00DD59EA">
        <w:rPr>
          <w:rFonts w:ascii="Palatino Linotype" w:hAnsi="Palatino Linotype" w:cs="Arial"/>
          <w:i/>
          <w:sz w:val="22"/>
          <w:szCs w:val="22"/>
          <w:lang w:eastAsia="es-MX"/>
        </w:rPr>
        <w:t>Mayagoitia</w:t>
      </w:r>
      <w:proofErr w:type="spellEnd"/>
      <w:r w:rsidRPr="00DD59EA">
        <w:rPr>
          <w:rFonts w:ascii="Palatino Linotype" w:hAnsi="Palatino Linotype" w:cs="Arial"/>
          <w:i/>
          <w:sz w:val="22"/>
          <w:szCs w:val="22"/>
          <w:lang w:eastAsia="es-MX"/>
        </w:rPr>
        <w:t>, quien reservó su derecho a formular voto particular; José Ramón Cossío Díaz reservó su derecho a formular voto concurrente. Ponente: Arturo Zaldívar Lelo de Larrea. Secretario: Javier Mijangos y González.</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sz w:val="22"/>
          <w:szCs w:val="22"/>
          <w:lang w:eastAsia="es-MX"/>
        </w:rPr>
        <w:t xml:space="preserve">Amparo directo 25/2010. Eduardo Rey </w:t>
      </w:r>
      <w:proofErr w:type="spellStart"/>
      <w:r w:rsidRPr="00DD59EA">
        <w:rPr>
          <w:rFonts w:ascii="Palatino Linotype" w:hAnsi="Palatino Linotype" w:cs="Arial"/>
          <w:i/>
          <w:sz w:val="22"/>
          <w:szCs w:val="22"/>
          <w:lang w:eastAsia="es-MX"/>
        </w:rPr>
        <w:t>Huchim</w:t>
      </w:r>
      <w:proofErr w:type="spellEnd"/>
      <w:r w:rsidRPr="00DD59EA">
        <w:rPr>
          <w:rFonts w:ascii="Palatino Linotype" w:hAnsi="Palatino Linotype" w:cs="Arial"/>
          <w:i/>
          <w:sz w:val="22"/>
          <w:szCs w:val="22"/>
          <w:lang w:eastAsia="es-MX"/>
        </w:rPr>
        <w:t xml:space="preserve"> </w:t>
      </w:r>
      <w:proofErr w:type="spellStart"/>
      <w:r w:rsidRPr="00DD59EA">
        <w:rPr>
          <w:rFonts w:ascii="Palatino Linotype" w:hAnsi="Palatino Linotype" w:cs="Arial"/>
          <w:i/>
          <w:sz w:val="22"/>
          <w:szCs w:val="22"/>
          <w:lang w:eastAsia="es-MX"/>
        </w:rPr>
        <w:t>May</w:t>
      </w:r>
      <w:proofErr w:type="spellEnd"/>
      <w:r w:rsidRPr="00DD59EA">
        <w:rPr>
          <w:rFonts w:ascii="Palatino Linotype" w:hAnsi="Palatino Linotype" w:cs="Arial"/>
          <w:i/>
          <w:sz w:val="22"/>
          <w:szCs w:val="22"/>
          <w:lang w:eastAsia="es-MX"/>
        </w:rPr>
        <w:t xml:space="preserve">. 28 de marzo de 2012. Unanimidad de cuatro votos. Ausente: Guillermo I. Ortiz </w:t>
      </w:r>
      <w:proofErr w:type="spellStart"/>
      <w:r w:rsidRPr="00DD59EA">
        <w:rPr>
          <w:rFonts w:ascii="Palatino Linotype" w:hAnsi="Palatino Linotype" w:cs="Arial"/>
          <w:i/>
          <w:sz w:val="22"/>
          <w:szCs w:val="22"/>
          <w:lang w:eastAsia="es-MX"/>
        </w:rPr>
        <w:t>Mayagoitia</w:t>
      </w:r>
      <w:proofErr w:type="spellEnd"/>
      <w:r w:rsidRPr="00DD59EA">
        <w:rPr>
          <w:rFonts w:ascii="Palatino Linotype" w:hAnsi="Palatino Linotype" w:cs="Arial"/>
          <w:i/>
          <w:sz w:val="22"/>
          <w:szCs w:val="22"/>
          <w:lang w:eastAsia="es-MX"/>
        </w:rPr>
        <w:t>. Ponente: Olga Sánchez Cordero de García Villegas. Secretaria: Rosalía Argumosa López.</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sz w:val="22"/>
          <w:szCs w:val="22"/>
          <w:lang w:eastAsia="es-MX"/>
        </w:rPr>
        <w:t xml:space="preserve">Amparo directo 26/2010. Rubén Lara León. 28 de marzo de 2012. Unanimidad de cuatro votos. Ausente: Guillermo I. Ortiz </w:t>
      </w:r>
      <w:proofErr w:type="spellStart"/>
      <w:r w:rsidRPr="00DD59EA">
        <w:rPr>
          <w:rFonts w:ascii="Palatino Linotype" w:hAnsi="Palatino Linotype" w:cs="Arial"/>
          <w:i/>
          <w:sz w:val="22"/>
          <w:szCs w:val="22"/>
          <w:lang w:eastAsia="es-MX"/>
        </w:rPr>
        <w:t>Mayagoitia</w:t>
      </w:r>
      <w:proofErr w:type="spellEnd"/>
      <w:r w:rsidRPr="00DD59EA">
        <w:rPr>
          <w:rFonts w:ascii="Palatino Linotype" w:hAnsi="Palatino Linotype" w:cs="Arial"/>
          <w:i/>
          <w:sz w:val="22"/>
          <w:szCs w:val="22"/>
          <w:lang w:eastAsia="es-MX"/>
        </w:rPr>
        <w:t>. Ponente: Olga Sánchez Cordero de García Villegas. Secretario: Francisco Octavio Escudero Contreras.</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sz w:val="22"/>
          <w:szCs w:val="22"/>
          <w:lang w:eastAsia="es-MX"/>
        </w:rPr>
        <w:lastRenderedPageBreak/>
        <w:t xml:space="preserve">Amparo directo 8/2012. Arrendadora </w:t>
      </w:r>
      <w:proofErr w:type="spellStart"/>
      <w:r w:rsidRPr="00DD59EA">
        <w:rPr>
          <w:rFonts w:ascii="Palatino Linotype" w:hAnsi="Palatino Linotype" w:cs="Arial"/>
          <w:i/>
          <w:sz w:val="22"/>
          <w:szCs w:val="22"/>
          <w:lang w:eastAsia="es-MX"/>
        </w:rPr>
        <w:t>Ocean</w:t>
      </w:r>
      <w:proofErr w:type="spellEnd"/>
      <w:r w:rsidRPr="00DD59EA">
        <w:rPr>
          <w:rFonts w:ascii="Palatino Linotype" w:hAnsi="Palatino Linotype" w:cs="Arial"/>
          <w:i/>
          <w:sz w:val="22"/>
          <w:szCs w:val="22"/>
          <w:lang w:eastAsia="es-MX"/>
        </w:rPr>
        <w:t xml:space="preserve"> Mexicana, S.A. de C.V. y otros. 4 de julio de 2012. Mayoría de cuatro votos. Disidente: Guillermo I. Ortiz </w:t>
      </w:r>
      <w:proofErr w:type="spellStart"/>
      <w:r w:rsidRPr="00DD59EA">
        <w:rPr>
          <w:rFonts w:ascii="Palatino Linotype" w:hAnsi="Palatino Linotype" w:cs="Arial"/>
          <w:i/>
          <w:sz w:val="22"/>
          <w:szCs w:val="22"/>
          <w:lang w:eastAsia="es-MX"/>
        </w:rPr>
        <w:t>Mayagoitia</w:t>
      </w:r>
      <w:proofErr w:type="spellEnd"/>
      <w:r w:rsidRPr="00DD59EA">
        <w:rPr>
          <w:rFonts w:ascii="Palatino Linotype" w:hAnsi="Palatino Linotype" w:cs="Arial"/>
          <w:i/>
          <w:sz w:val="22"/>
          <w:szCs w:val="22"/>
          <w:lang w:eastAsia="es-MX"/>
        </w:rPr>
        <w:t>; José Ramón Cossío Díaz reservó su derecho para formular voto concurrente; Olga Sánchez Cordero de García Villegas también reservó su derecho a formular voto concurrente por lo que respecta al apartado XI. Ponente: Arturo Zaldívar Lelo de Larrea. Secretario: Javier Mijangos y González.</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sz w:val="22"/>
          <w:szCs w:val="22"/>
          <w:lang w:eastAsia="es-MX"/>
        </w:rPr>
        <w:t xml:space="preserve">Amparo directo 16/2012. Federico Humberto Ruiz Lomelí. 11 de julio de 2012. Cinco votos; José Ramón Cossío Díaz, Olga Sánchez Cordero de García Villegas y Arturo Zaldívar Lelo de Larrea reservaron su derecho a formular voto concurrente. Ponente: Jorge Mario Pardo Rebolledo. Secretaria: Rosa María Rojas </w:t>
      </w:r>
      <w:proofErr w:type="spellStart"/>
      <w:r w:rsidRPr="00DD59EA">
        <w:rPr>
          <w:rFonts w:ascii="Palatino Linotype" w:hAnsi="Palatino Linotype" w:cs="Arial"/>
          <w:i/>
          <w:sz w:val="22"/>
          <w:szCs w:val="22"/>
          <w:lang w:eastAsia="es-MX"/>
        </w:rPr>
        <w:t>Vértiz</w:t>
      </w:r>
      <w:proofErr w:type="spellEnd"/>
      <w:r w:rsidRPr="00DD59EA">
        <w:rPr>
          <w:rFonts w:ascii="Palatino Linotype" w:hAnsi="Palatino Linotype" w:cs="Arial"/>
          <w:i/>
          <w:sz w:val="22"/>
          <w:szCs w:val="22"/>
          <w:lang w:eastAsia="es-MX"/>
        </w:rPr>
        <w:t xml:space="preserve"> Contreras.</w:t>
      </w:r>
    </w:p>
    <w:p w:rsidR="0070085B" w:rsidRPr="00DD59EA" w:rsidRDefault="0070085B" w:rsidP="00DA47BB">
      <w:pPr>
        <w:spacing w:before="100" w:beforeAutospacing="1" w:after="100" w:afterAutospacing="1"/>
        <w:ind w:left="851" w:right="899"/>
        <w:jc w:val="both"/>
        <w:rPr>
          <w:rFonts w:ascii="Palatino Linotype" w:hAnsi="Palatino Linotype" w:cs="Arial"/>
          <w:i/>
          <w:sz w:val="22"/>
          <w:szCs w:val="22"/>
          <w:lang w:eastAsia="es-MX"/>
        </w:rPr>
      </w:pPr>
      <w:r w:rsidRPr="00DD59EA">
        <w:rPr>
          <w:rFonts w:ascii="Palatino Linotype" w:hAnsi="Palatino Linotype" w:cs="Arial"/>
          <w:i/>
          <w:sz w:val="22"/>
          <w:szCs w:val="22"/>
          <w:lang w:eastAsia="es-MX"/>
        </w:rPr>
        <w:t>Tesis de jurisprudencia 31/2013 (10a.). Aprobada por la Primera Sala de este Alto Tribunal, en sesión privada de veintisiete de febrero de dos mil trece.”</w:t>
      </w:r>
    </w:p>
    <w:p w:rsidR="0070085B" w:rsidRPr="00DD59EA" w:rsidRDefault="0070085B" w:rsidP="00DA47BB">
      <w:pPr>
        <w:spacing w:before="100" w:beforeAutospacing="1" w:after="100" w:afterAutospacing="1"/>
        <w:ind w:left="851" w:right="899"/>
        <w:jc w:val="both"/>
        <w:rPr>
          <w:rFonts w:ascii="Palatino Linotype" w:hAnsi="Palatino Linotype" w:cs="Arial"/>
          <w:sz w:val="22"/>
          <w:szCs w:val="22"/>
          <w:lang w:eastAsia="es-MX"/>
        </w:rPr>
      </w:pPr>
      <w:r w:rsidRPr="00DD59EA">
        <w:rPr>
          <w:rFonts w:ascii="Palatino Linotype" w:hAnsi="Palatino Linotype" w:cs="Arial"/>
          <w:sz w:val="22"/>
          <w:szCs w:val="22"/>
          <w:lang w:eastAsia="es-MX"/>
        </w:rPr>
        <w:t>(Énfasis añadido)</w:t>
      </w:r>
    </w:p>
    <w:p w:rsidR="00155C62" w:rsidRPr="00DD59EA" w:rsidRDefault="00155C62"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Así, esta Ponencia Resolutora considera pertinente analizar si </w:t>
      </w:r>
      <w:r w:rsidRPr="00DD59EA">
        <w:rPr>
          <w:rFonts w:ascii="Palatino Linotype" w:hAnsi="Palatino Linotype" w:cs="Arial"/>
          <w:b/>
        </w:rPr>
        <w:t>EL SUJETO OBLIGADO</w:t>
      </w:r>
      <w:r w:rsidR="004A463E" w:rsidRPr="00DD59EA">
        <w:rPr>
          <w:rFonts w:ascii="Palatino Linotype" w:hAnsi="Palatino Linotype" w:cs="Arial"/>
        </w:rPr>
        <w:t xml:space="preserve"> </w:t>
      </w:r>
      <w:r w:rsidRPr="00DD59EA">
        <w:rPr>
          <w:rFonts w:ascii="Palatino Linotype" w:hAnsi="Palatino Linotype" w:cs="Arial"/>
        </w:rPr>
        <w:t xml:space="preserve">es la autoridad competente para conocer de </w:t>
      </w:r>
      <w:r w:rsidR="004A463E" w:rsidRPr="00DD59EA">
        <w:rPr>
          <w:rFonts w:ascii="Palatino Linotype" w:hAnsi="Palatino Linotype" w:cs="Arial"/>
        </w:rPr>
        <w:t xml:space="preserve">las </w:t>
      </w:r>
      <w:r w:rsidRPr="00DD59EA">
        <w:rPr>
          <w:rFonts w:ascii="Palatino Linotype" w:hAnsi="Palatino Linotype" w:cs="Arial"/>
        </w:rPr>
        <w:t>solicitud</w:t>
      </w:r>
      <w:r w:rsidR="004A463E" w:rsidRPr="00DD59EA">
        <w:rPr>
          <w:rFonts w:ascii="Palatino Linotype" w:hAnsi="Palatino Linotype" w:cs="Arial"/>
        </w:rPr>
        <w:t>es de origen</w:t>
      </w:r>
      <w:r w:rsidRPr="00DD59EA">
        <w:rPr>
          <w:rFonts w:ascii="Palatino Linotype" w:hAnsi="Palatino Linotype" w:cs="Arial"/>
        </w:rPr>
        <w:t>, es decir, si se trata de información que deba generar, administrar o poseer, en virtud del ámbito de sus atribuciones, funciones, facultades o competencias y si la misma se trata de información pública susceptible debe ser entregada a los particulares; por lo que, resulta pertinente enfatizar</w:t>
      </w:r>
      <w:r w:rsidR="00BB4185" w:rsidRPr="00DD59EA">
        <w:rPr>
          <w:rFonts w:ascii="Palatino Linotype" w:hAnsi="Palatino Linotype" w:cs="Arial"/>
        </w:rPr>
        <w:t xml:space="preserve"> lo que debemos entender por</w:t>
      </w:r>
      <w:r w:rsidRPr="00DD59EA">
        <w:rPr>
          <w:rFonts w:ascii="Palatino Linotype" w:hAnsi="Palatino Linotype" w:cs="Arial"/>
        </w:rPr>
        <w:t xml:space="preserve"> derecho de a</w:t>
      </w:r>
      <w:r w:rsidR="00BB4185" w:rsidRPr="00DD59EA">
        <w:rPr>
          <w:rFonts w:ascii="Palatino Linotype" w:hAnsi="Palatino Linotype" w:cs="Arial"/>
        </w:rPr>
        <w:t xml:space="preserve">cceso a la información pública, resultando conveniente traer a contexto </w:t>
      </w:r>
      <w:r w:rsidRPr="00DD59EA">
        <w:rPr>
          <w:rFonts w:ascii="Palatino Linotype" w:hAnsi="Palatino Linotype" w:cs="Arial"/>
        </w:rPr>
        <w:t>el artículo 6° de la Constitución Política de los Estados Unidos Mexicanos, que en su parte conducente señala:</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“Artículo 6o.</w:t>
      </w:r>
      <w:r w:rsidRPr="00DD59EA">
        <w:rPr>
          <w:rFonts w:ascii="Palatino Linotype" w:hAnsi="Palatino Linotype" w:cs="Arial"/>
          <w:i/>
          <w:sz w:val="22"/>
          <w:szCs w:val="22"/>
        </w:rPr>
        <w:t xml:space="preserve"> La manifestación de las ideas no será objeto de ninguna inquisición judicial o administrativa, sino en el caso de que ataque a la moral, la vida privada o los derechos de terceros, provoque algún delito, o perturbe el orden público; el derecho de réplica será ejercido en los términos dispuestos por la ley. </w:t>
      </w:r>
      <w:r w:rsidRPr="00DD59EA">
        <w:rPr>
          <w:rFonts w:ascii="Palatino Linotype" w:hAnsi="Palatino Linotype" w:cs="Arial"/>
          <w:b/>
          <w:i/>
          <w:sz w:val="22"/>
          <w:szCs w:val="22"/>
        </w:rPr>
        <w:t>El derecho a la información será garantizado por el Estado.</w:t>
      </w:r>
      <w:r w:rsidRPr="00DD59EA">
        <w:rPr>
          <w:rFonts w:ascii="Palatino Linotype" w:hAnsi="Palatino Linotype" w:cs="Arial"/>
          <w:i/>
          <w:sz w:val="22"/>
          <w:szCs w:val="22"/>
        </w:rPr>
        <w:t xml:space="preserve"> </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i/>
          <w:sz w:val="22"/>
          <w:szCs w:val="22"/>
        </w:rPr>
        <w:lastRenderedPageBreak/>
        <w:t>Toda persona tiene derecho al libre acceso a información plural y oportuna, así como a buscar, recibir y difundir información e ideas de toda índole por cualquier medio de expresión.</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i/>
          <w:sz w:val="22"/>
          <w:szCs w:val="22"/>
        </w:rPr>
        <w:t>Para efectos de lo dispuesto en el presente artículo se observará lo siguiente:</w:t>
      </w:r>
    </w:p>
    <w:p w:rsidR="00155C62" w:rsidRPr="00DD59EA" w:rsidRDefault="00155C62" w:rsidP="00DA47BB">
      <w:pPr>
        <w:tabs>
          <w:tab w:val="left" w:pos="8222"/>
        </w:tabs>
        <w:ind w:left="851" w:right="902"/>
        <w:jc w:val="both"/>
        <w:rPr>
          <w:rFonts w:ascii="Palatino Linotype" w:hAnsi="Palatino Linotype" w:cs="Arial"/>
          <w:i/>
          <w:sz w:val="22"/>
          <w:szCs w:val="22"/>
        </w:rPr>
      </w:pP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A.</w:t>
      </w:r>
      <w:r w:rsidRPr="00DD59EA">
        <w:rPr>
          <w:rFonts w:ascii="Palatino Linotype" w:hAnsi="Palatino Linotype" w:cs="Arial"/>
          <w:i/>
          <w:sz w:val="22"/>
          <w:szCs w:val="22"/>
        </w:rPr>
        <w:t xml:space="preserve"> Para el ejercicio del derecho de acceso a la información, la Federación, los Estados y el Distrito Federal, en el ámbito de sus respectivas competencias, se regirán por los siguientes principios y bases:</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I. Toda la información en posesión de</w:t>
      </w:r>
      <w:r w:rsidRPr="00DD59EA">
        <w:rPr>
          <w:rFonts w:ascii="Palatino Linotype" w:hAnsi="Palatino Linotype" w:cs="Arial"/>
          <w:i/>
          <w:sz w:val="22"/>
          <w:szCs w:val="22"/>
        </w:rPr>
        <w:t xml:space="preserve"> </w:t>
      </w:r>
      <w:r w:rsidRPr="00DD59EA">
        <w:rPr>
          <w:rFonts w:ascii="Palatino Linotype" w:hAnsi="Palatino Linotype" w:cs="Arial"/>
          <w:b/>
          <w:i/>
          <w:sz w:val="22"/>
          <w:szCs w:val="22"/>
        </w:rPr>
        <w:t xml:space="preserve">cualquier </w:t>
      </w:r>
      <w:r w:rsidRPr="00DD59EA">
        <w:rPr>
          <w:rFonts w:ascii="Palatino Linotype" w:hAnsi="Palatino Linotype" w:cs="Arial"/>
          <w:i/>
          <w:sz w:val="22"/>
          <w:szCs w:val="22"/>
        </w:rPr>
        <w:t xml:space="preserve">autoridad, entidad, </w:t>
      </w:r>
      <w:r w:rsidRPr="00DD59EA">
        <w:rPr>
          <w:rFonts w:ascii="Palatino Linotype" w:hAnsi="Palatino Linotype" w:cs="Arial"/>
          <w:b/>
          <w:i/>
          <w:sz w:val="22"/>
          <w:szCs w:val="22"/>
        </w:rPr>
        <w:t>órgano y organismo de los Poderes Ejecutivo</w:t>
      </w:r>
      <w:r w:rsidRPr="00DD59EA">
        <w:rPr>
          <w:rFonts w:ascii="Palatino Linotype" w:hAnsi="Palatino Linotype" w:cs="Arial"/>
          <w:i/>
          <w:sz w:val="22"/>
          <w:szCs w:val="22"/>
        </w:rPr>
        <w:t xml:space="preserve">, Legislativo y Judicial, órganos autónomos, partidos políticos, fideicomisos y fondos públicos, así como de cualquier persona física, moral o sindicato que reciba y ejerza recursos públicos o realice actos de autoridad en el ámbito federal, estatal y municipal, </w:t>
      </w:r>
      <w:r w:rsidRPr="00DD59EA">
        <w:rPr>
          <w:rFonts w:ascii="Palatino Linotype" w:hAnsi="Palatino Linotype" w:cs="Arial"/>
          <w:b/>
          <w:i/>
          <w:sz w:val="22"/>
          <w:szCs w:val="22"/>
        </w:rPr>
        <w:t>es pública</w:t>
      </w:r>
      <w:r w:rsidRPr="00DD59EA">
        <w:rPr>
          <w:rFonts w:ascii="Palatino Linotype" w:hAnsi="Palatino Linotype" w:cs="Arial"/>
          <w:i/>
          <w:sz w:val="22"/>
          <w:szCs w:val="22"/>
        </w:rPr>
        <w:t xml:space="preserve"> y sólo podrá ser reservada temporalmente por razones de interés público y seguridad nacional, en los términos que fijen las leyes. En la interpretación de este derecho deberá prevalecer el principio de máxima publicidad. </w:t>
      </w:r>
      <w:r w:rsidRPr="00DD59EA">
        <w:rPr>
          <w:rFonts w:ascii="Palatino Linotype" w:hAnsi="Palatino Linotype" w:cs="Arial"/>
          <w:b/>
          <w:i/>
          <w:sz w:val="22"/>
          <w:szCs w:val="22"/>
        </w:rPr>
        <w:t>Los sujetos obligados deberán documentar todo acto que derive del ejercicio de sus facultades, competencias o funciones</w:t>
      </w:r>
      <w:r w:rsidRPr="00DD59EA">
        <w:rPr>
          <w:rFonts w:ascii="Palatino Linotype" w:hAnsi="Palatino Linotype" w:cs="Arial"/>
          <w:i/>
          <w:sz w:val="22"/>
          <w:szCs w:val="22"/>
        </w:rPr>
        <w:t>, la ley determinará los supuestos específicos bajo los cuales procederá la declaración de inexistencia de la información.</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II</w:t>
      </w:r>
      <w:r w:rsidRPr="00DD59EA">
        <w:rPr>
          <w:rFonts w:ascii="Palatino Linotype" w:hAnsi="Palatino Linotype" w:cs="Arial"/>
          <w:i/>
          <w:sz w:val="22"/>
          <w:szCs w:val="22"/>
        </w:rPr>
        <w:t>. La información que se refiere a la vida privada y los datos personales será protegida en los términos y con las excepciones que fijen las leyes.</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III.</w:t>
      </w:r>
      <w:r w:rsidRPr="00DD59EA">
        <w:rPr>
          <w:rFonts w:ascii="Palatino Linotype" w:hAnsi="Palatino Linotype" w:cs="Arial"/>
          <w:i/>
          <w:sz w:val="22"/>
          <w:szCs w:val="22"/>
        </w:rPr>
        <w:t xml:space="preserve"> Toda persona, sin necesidad de acreditar interés alguno o justificar su utilización, tendrá acceso gratuito a la información pública, a sus datos personales o a la rectificación de éstos.</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IV.</w:t>
      </w:r>
      <w:r w:rsidRPr="00DD59EA">
        <w:rPr>
          <w:rFonts w:ascii="Palatino Linotype" w:hAnsi="Palatino Linotype" w:cs="Arial"/>
          <w:i/>
          <w:sz w:val="22"/>
          <w:szCs w:val="22"/>
        </w:rPr>
        <w:t xml:space="preserve">   Se establecerán mecanismos de acceso a la información y procedimientos de revisión expeditos que se sustanciarán ante los organismos autónomos especializados e imparciales que establece esta Constitución.</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 xml:space="preserve">V. </w:t>
      </w:r>
      <w:r w:rsidRPr="00DD59EA">
        <w:rPr>
          <w:rFonts w:ascii="Palatino Linotype" w:hAnsi="Palatino Linotype" w:cs="Arial"/>
          <w:i/>
          <w:sz w:val="22"/>
          <w:szCs w:val="22"/>
        </w:rPr>
        <w:t>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de los resultados obtenidos.</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VI.</w:t>
      </w:r>
      <w:r w:rsidRPr="00DD59EA">
        <w:rPr>
          <w:rFonts w:ascii="Palatino Linotype" w:hAnsi="Palatino Linotype" w:cs="Arial"/>
          <w:i/>
          <w:sz w:val="22"/>
          <w:szCs w:val="22"/>
        </w:rPr>
        <w:t xml:space="preserve"> Las leyes determinarán la manera en que los sujetos obligados deberán hacer pública la información relativa a los recursos públicos que entreguen a personas físicas o morales.</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VII.</w:t>
      </w:r>
      <w:r w:rsidRPr="00DD59EA">
        <w:rPr>
          <w:rFonts w:ascii="Palatino Linotype" w:hAnsi="Palatino Linotype" w:cs="Arial"/>
          <w:i/>
          <w:sz w:val="22"/>
          <w:szCs w:val="22"/>
        </w:rPr>
        <w:t xml:space="preserve"> La inobservancia a las disposiciones en materia de acceso a la información pública será sancionada en los términos que dispongan las leyes.</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b/>
          <w:i/>
          <w:sz w:val="22"/>
          <w:szCs w:val="22"/>
        </w:rPr>
        <w:t>VIII.</w:t>
      </w:r>
      <w:r w:rsidRPr="00DD59EA">
        <w:rPr>
          <w:rFonts w:ascii="Palatino Linotype" w:hAnsi="Palatino Linotype" w:cs="Arial"/>
          <w:i/>
          <w:sz w:val="22"/>
          <w:szCs w:val="22"/>
        </w:rPr>
        <w:t xml:space="preserve"> La Federación contará con un organismo autónomo, especializado, imparcial, colegiado, con personalidad jurídica y patrimonio propio, con plena autonomía </w:t>
      </w:r>
      <w:r w:rsidRPr="00DD59EA">
        <w:rPr>
          <w:rFonts w:ascii="Palatino Linotype" w:hAnsi="Palatino Linotype" w:cs="Arial"/>
          <w:i/>
          <w:sz w:val="22"/>
          <w:szCs w:val="22"/>
        </w:rPr>
        <w:lastRenderedPageBreak/>
        <w:t>técnica, de gestión, capacidad para decidir sobre el ejercicio de su presupuesto y determinar su organización interna, responsable de garantizar el cumplimiento del derecho de acceso a la información pública y a la protección de datos personales en posesión de los sujetos obligados en los términos que establezca la ley.</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i/>
          <w:sz w:val="22"/>
          <w:szCs w:val="22"/>
        </w:rPr>
        <w:t>…</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i/>
          <w:sz w:val="22"/>
          <w:szCs w:val="22"/>
        </w:rPr>
        <w:t>La ley establecerá aquella información que se considere reservada o confidencial.</w:t>
      </w:r>
    </w:p>
    <w:p w:rsidR="00155C62" w:rsidRPr="00DD59EA" w:rsidRDefault="00155C62" w:rsidP="00DA47BB">
      <w:pPr>
        <w:tabs>
          <w:tab w:val="left" w:pos="8222"/>
        </w:tabs>
        <w:ind w:left="851" w:right="902"/>
        <w:jc w:val="both"/>
        <w:rPr>
          <w:rFonts w:ascii="Palatino Linotype" w:hAnsi="Palatino Linotype" w:cs="Arial"/>
          <w:i/>
          <w:sz w:val="22"/>
          <w:szCs w:val="22"/>
        </w:rPr>
      </w:pPr>
      <w:r w:rsidRPr="00DD59EA">
        <w:rPr>
          <w:rFonts w:ascii="Palatino Linotype" w:hAnsi="Palatino Linotype" w:cs="Arial"/>
          <w:i/>
          <w:sz w:val="22"/>
          <w:szCs w:val="22"/>
        </w:rPr>
        <w:t xml:space="preserve">…” </w:t>
      </w:r>
    </w:p>
    <w:p w:rsidR="00155C62" w:rsidRPr="00DD59EA" w:rsidRDefault="00155C62" w:rsidP="00DA47BB">
      <w:pPr>
        <w:tabs>
          <w:tab w:val="left" w:pos="8222"/>
        </w:tabs>
        <w:ind w:left="851" w:right="902"/>
        <w:jc w:val="both"/>
        <w:rPr>
          <w:rFonts w:ascii="Palatino Linotype" w:hAnsi="Palatino Linotype"/>
          <w:i/>
          <w:sz w:val="22"/>
          <w:szCs w:val="22"/>
        </w:rPr>
      </w:pPr>
      <w:r w:rsidRPr="00DD59EA">
        <w:rPr>
          <w:rFonts w:ascii="Palatino Linotype" w:hAnsi="Palatino Linotype"/>
          <w:i/>
          <w:sz w:val="22"/>
          <w:szCs w:val="22"/>
        </w:rPr>
        <w:t>(Énfasis añadido)</w:t>
      </w:r>
    </w:p>
    <w:p w:rsidR="00155C62" w:rsidRPr="00DD59EA" w:rsidRDefault="00155C62"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Por su parte, la Constitución Política del Estado Libre y Soberano de México, en su artículo 5°, dispone </w:t>
      </w:r>
      <w:r w:rsidR="00BB4185" w:rsidRPr="00DD59EA">
        <w:rPr>
          <w:rFonts w:ascii="Palatino Linotype" w:hAnsi="Palatino Linotype" w:cs="Arial"/>
        </w:rPr>
        <w:t>que el derecho de acceso a la información pública deberá entenderse</w:t>
      </w:r>
      <w:r w:rsidRPr="00DD59EA">
        <w:rPr>
          <w:rFonts w:ascii="Palatino Linotype" w:hAnsi="Palatino Linotype" w:cs="Arial"/>
        </w:rPr>
        <w:t>, lo siguiente:</w:t>
      </w:r>
    </w:p>
    <w:p w:rsidR="00155C62" w:rsidRPr="00DD59EA" w:rsidRDefault="00155C62" w:rsidP="00DA47BB">
      <w:pPr>
        <w:ind w:left="851" w:right="902"/>
        <w:jc w:val="both"/>
        <w:rPr>
          <w:rFonts w:ascii="Palatino Linotype" w:hAnsi="Palatino Linotype" w:cs="Arial"/>
          <w:b/>
          <w:i/>
          <w:sz w:val="22"/>
          <w:szCs w:val="22"/>
        </w:rPr>
      </w:pPr>
      <w:r w:rsidRPr="00DD59EA">
        <w:rPr>
          <w:rFonts w:ascii="Palatino Linotype" w:hAnsi="Palatino Linotype" w:cs="Arial"/>
          <w:i/>
          <w:sz w:val="22"/>
          <w:szCs w:val="22"/>
        </w:rPr>
        <w:t>“</w:t>
      </w:r>
      <w:r w:rsidRPr="00DD59EA">
        <w:rPr>
          <w:rFonts w:ascii="Palatino Linotype" w:hAnsi="Palatino Linotype" w:cs="Arial"/>
          <w:b/>
          <w:i/>
          <w:sz w:val="22"/>
          <w:szCs w:val="22"/>
        </w:rPr>
        <w:t xml:space="preserve">Artículo 5. … </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b/>
          <w:i/>
          <w:sz w:val="22"/>
          <w:szCs w:val="22"/>
        </w:rPr>
        <w:t>El derecho a la información será garantizado por el Estado</w:t>
      </w:r>
      <w:r w:rsidRPr="00DD59EA">
        <w:rPr>
          <w:rFonts w:ascii="Palatino Linotype" w:hAnsi="Palatino Linotype"/>
          <w:i/>
          <w:sz w:val="22"/>
          <w:szCs w:val="22"/>
        </w:rPr>
        <w:t xml:space="preserve">. La ley establecerá las previsiones que permitan asegurar la protección, el respeto y la difusión de este derecho. </w:t>
      </w:r>
    </w:p>
    <w:p w:rsidR="00155C62" w:rsidRPr="00DD59EA" w:rsidRDefault="00155C62" w:rsidP="00DA47BB">
      <w:pPr>
        <w:ind w:left="851" w:right="902"/>
        <w:jc w:val="both"/>
        <w:rPr>
          <w:rFonts w:ascii="Palatino Linotype" w:hAnsi="Palatino Linotype"/>
          <w:b/>
          <w:i/>
          <w:sz w:val="22"/>
          <w:szCs w:val="22"/>
        </w:rPr>
      </w:pPr>
      <w:r w:rsidRPr="00DD59EA">
        <w:rPr>
          <w:rFonts w:ascii="Palatino Linotype" w:hAnsi="Palatino Linotype"/>
          <w:b/>
          <w:i/>
          <w:sz w:val="22"/>
          <w:szCs w:val="22"/>
        </w:rPr>
        <w:t xml:space="preserve">Para garantizar el ejercicio del derecho de transparencia, acceso a la información pública y protección de datos personales, los poderes públicos y los organismos autónomos, transparentarán sus acciones, en términos de las disposiciones aplicables, la información será oportuna, clara, veraz y de fácil acceso. </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Este derecho se regirá por los principios y bases siguientes:</w:t>
      </w:r>
    </w:p>
    <w:p w:rsidR="00155C62" w:rsidRPr="00DD59EA" w:rsidRDefault="00155C62" w:rsidP="00DA47BB">
      <w:pPr>
        <w:ind w:left="851" w:right="902"/>
        <w:jc w:val="both"/>
        <w:rPr>
          <w:rFonts w:ascii="Palatino Linotype" w:hAnsi="Palatino Linotype"/>
          <w:b/>
          <w:i/>
          <w:sz w:val="22"/>
          <w:szCs w:val="22"/>
        </w:rPr>
      </w:pPr>
      <w:r w:rsidRPr="00DD59EA">
        <w:rPr>
          <w:rFonts w:ascii="Palatino Linotype" w:hAnsi="Palatino Linotype"/>
          <w:b/>
          <w:i/>
          <w:sz w:val="22"/>
          <w:szCs w:val="22"/>
        </w:rPr>
        <w:t>I. Toda la información en posesión de cualquier autoridad</w:t>
      </w:r>
      <w:r w:rsidRPr="00DD59EA">
        <w:rPr>
          <w:rFonts w:ascii="Palatino Linotype" w:hAnsi="Palatino Linotype"/>
          <w:i/>
          <w:sz w:val="22"/>
          <w:szCs w:val="22"/>
        </w:rPr>
        <w:t xml:space="preserve">, entidad, órgano y organismos </w:t>
      </w:r>
      <w:r w:rsidRPr="00DD59EA">
        <w:rPr>
          <w:rFonts w:ascii="Palatino Linotype" w:hAnsi="Palatino Linotype"/>
          <w:b/>
          <w:i/>
          <w:sz w:val="22"/>
          <w:szCs w:val="22"/>
        </w:rPr>
        <w:t>de los Poderes Ejecutivo,</w:t>
      </w:r>
      <w:r w:rsidRPr="00DD59EA">
        <w:rPr>
          <w:rFonts w:ascii="Palatino Linotype" w:hAnsi="Palatino Linotype"/>
          <w:i/>
          <w:sz w:val="22"/>
          <w:szCs w:val="22"/>
        </w:rPr>
        <w:t xml:space="preserve"> Legislativo y Judicial, </w:t>
      </w:r>
      <w:r w:rsidRPr="00DD59EA">
        <w:rPr>
          <w:rFonts w:ascii="Palatino Linotype" w:hAnsi="Palatino Linotype"/>
          <w:b/>
          <w:i/>
          <w:sz w:val="22"/>
          <w:szCs w:val="22"/>
        </w:rPr>
        <w:t>órganos autónomos,</w:t>
      </w:r>
      <w:r w:rsidRPr="00DD59EA">
        <w:rPr>
          <w:rFonts w:ascii="Palatino Linotype" w:hAnsi="Palatino Linotype"/>
          <w:i/>
          <w:sz w:val="22"/>
          <w:szCs w:val="22"/>
        </w:rPr>
        <w:t xml:space="preserve"> partidos políticos, fideicomisos y fondos públicos estatales y municipales, así como del gobierno y de la administración pública municipal</w:t>
      </w:r>
      <w:r w:rsidRPr="00DD59EA">
        <w:rPr>
          <w:rFonts w:ascii="Palatino Linotype" w:hAnsi="Palatino Linotype"/>
          <w:b/>
          <w:i/>
          <w:sz w:val="22"/>
          <w:szCs w:val="22"/>
        </w:rPr>
        <w:t xml:space="preserve"> </w:t>
      </w:r>
      <w:r w:rsidRPr="00DD59EA">
        <w:rPr>
          <w:rFonts w:ascii="Palatino Linotype" w:hAnsi="Palatino Linotype"/>
          <w:i/>
          <w:sz w:val="22"/>
          <w:szCs w:val="22"/>
        </w:rPr>
        <w:t xml:space="preserve">y sus </w:t>
      </w:r>
      <w:r w:rsidRPr="00DD59EA">
        <w:rPr>
          <w:rFonts w:ascii="Palatino Linotype" w:hAnsi="Palatino Linotype"/>
          <w:b/>
          <w:i/>
          <w:sz w:val="22"/>
          <w:szCs w:val="22"/>
        </w:rPr>
        <w:t>organismos descentralizados</w:t>
      </w:r>
      <w:r w:rsidRPr="00DD59EA">
        <w:rPr>
          <w:rFonts w:ascii="Palatino Linotype" w:hAnsi="Palatino Linotype"/>
          <w:i/>
          <w:sz w:val="22"/>
          <w:szCs w:val="22"/>
        </w:rPr>
        <w:t xml:space="preserve">, asimismo de cualquier persona física, jurídica colectiva o sindicato </w:t>
      </w:r>
      <w:r w:rsidRPr="00DD59EA">
        <w:rPr>
          <w:rFonts w:ascii="Palatino Linotype" w:hAnsi="Palatino Linotype"/>
          <w:b/>
          <w:i/>
          <w:sz w:val="22"/>
          <w:szCs w:val="22"/>
        </w:rPr>
        <w:t xml:space="preserve">que reciba y ejerza recursos públicos o realice actos de autoridad en el ámbito estatal </w:t>
      </w:r>
      <w:r w:rsidRPr="00DD59EA">
        <w:rPr>
          <w:rFonts w:ascii="Palatino Linotype" w:hAnsi="Palatino Linotype"/>
          <w:i/>
          <w:sz w:val="22"/>
          <w:szCs w:val="22"/>
        </w:rPr>
        <w:t xml:space="preserve">y municipal, </w:t>
      </w:r>
      <w:r w:rsidRPr="00DD59EA">
        <w:rPr>
          <w:rFonts w:ascii="Palatino Linotype" w:hAnsi="Palatino Linotype"/>
          <w:b/>
          <w:i/>
          <w:sz w:val="22"/>
          <w:szCs w:val="22"/>
        </w:rPr>
        <w:t>es pública</w:t>
      </w:r>
      <w:r w:rsidRPr="00DD59EA">
        <w:rPr>
          <w:rFonts w:ascii="Palatino Linotype" w:hAnsi="Palatino Linotype"/>
          <w:i/>
          <w:sz w:val="22"/>
          <w:szCs w:val="22"/>
        </w:rPr>
        <w:t xml:space="preserve"> y sólo podrá ser reservada temporalmente por razones previstas en la Constitución Política de los Estados Unidos Mexicanos de interés público y seguridad, en los términos que fijen las leyes. </w:t>
      </w:r>
      <w:r w:rsidRPr="00DD59EA">
        <w:rPr>
          <w:rFonts w:ascii="Palatino Linotype" w:hAnsi="Palatino Linotype"/>
          <w:b/>
          <w:i/>
          <w:sz w:val="22"/>
          <w:szCs w:val="22"/>
        </w:rPr>
        <w:t>En la interpretación de este derecho deberá prevalecer el principio de máxima publicidad.</w:t>
      </w:r>
      <w:r w:rsidRPr="00DD59EA">
        <w:rPr>
          <w:rFonts w:ascii="Palatino Linotype" w:hAnsi="Palatino Linotype"/>
          <w:i/>
          <w:sz w:val="22"/>
          <w:szCs w:val="22"/>
        </w:rPr>
        <w:t xml:space="preserve"> </w:t>
      </w:r>
      <w:r w:rsidRPr="00DD59EA">
        <w:rPr>
          <w:rFonts w:ascii="Palatino Linotype" w:hAnsi="Palatino Linotype"/>
          <w:b/>
          <w:i/>
          <w:sz w:val="22"/>
          <w:szCs w:val="22"/>
        </w:rPr>
        <w:t>Los sujetos obligados deberán documentar todo acto que derive del ejercicio de sus facultades, competencias o funciones, la ley determinará los supuestos específicos bajo los cuales procederá la declaración de inexistencia de la información.</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lastRenderedPageBreak/>
        <w:t>II. La información referente a la intimidad de la vida privada y la imagen de las personas será protegida a través de un marco jurídico rígido de tratamiento y manejo de datos personales, con las excepciones que establezca la ley reglamentaria.</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III. Toda persona, sin necesidad de acreditar interés alguno o justificar su utilización, tendrá acceso gratuito a la información pública, a sus datos personales o a la rectificación de éstos.</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IV. Se establecerán mecanismos de acceso a la información y procedimientos de revisión expeditos que se sustanciarán ante el organismo autónomo especializado e imparcial que establece esta Constitución.</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V. Los procedimientos de acceso a la información pública, de acceso, corrección y supresión de datos personales, así como los recursos de revisión derivados de los mismos, podrán tramitarse por medios electrónicos, a través de un sistema automatizado que para tal efecto establezca la ley reglamentaria y el organismo autónomo garante en el ámbito de su competencia. Las resoluciones que correspondan a estos procedimientos se sistematizarán para favorecer su consulta.</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b/>
          <w:i/>
          <w:sz w:val="22"/>
          <w:szCs w:val="22"/>
        </w:rPr>
        <w:t>VI. Los sujetos obligados deberán preservar sus documentos en archivos administrativos actualizados</w:t>
      </w:r>
      <w:r w:rsidRPr="00DD59EA">
        <w:rPr>
          <w:rFonts w:ascii="Palatino Linotype" w:hAnsi="Palatino Linotype"/>
          <w:i/>
          <w:sz w:val="22"/>
          <w:szCs w:val="22"/>
        </w:rPr>
        <w:t xml:space="preserve"> y publicarán, a través de los medios electrónicos disponibles, la información completa y actualizada sobre el ejercicio de los recursos públicos y los indicadores que permitan rendir cuenta del cumplimiento de sus objetivos y los resultados obtenidos.</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VII. La ley reglamentaria, determinará la manera en que los sujetos obligados deberán hacer pública la información relativa a los recursos públicos que entreguen a personas físicas o jurídicas colectivas.”</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i/>
          <w:sz w:val="22"/>
          <w:szCs w:val="22"/>
        </w:rPr>
        <w:t>(Énfasis añadido)</w:t>
      </w:r>
    </w:p>
    <w:p w:rsidR="00155C62" w:rsidRPr="00DD59EA" w:rsidRDefault="00155C62"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En ese </w:t>
      </w:r>
      <w:r w:rsidR="0009192B" w:rsidRPr="00DD59EA">
        <w:rPr>
          <w:rFonts w:ascii="Palatino Linotype" w:hAnsi="Palatino Linotype" w:cs="Arial"/>
        </w:rPr>
        <w:t xml:space="preserve">tenor, </w:t>
      </w:r>
      <w:r w:rsidRPr="00DD59EA">
        <w:rPr>
          <w:rFonts w:ascii="Palatino Linotype" w:hAnsi="Palatino Linotype" w:cs="Arial"/>
        </w:rPr>
        <w:t>la Ley de Transparencia y Acceso a la Información Pública del Estado de México y Municipios, prevé en su artículo 23, lo siguiente:</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i/>
          <w:sz w:val="22"/>
          <w:szCs w:val="22"/>
        </w:rPr>
        <w:t>“</w:t>
      </w:r>
      <w:r w:rsidRPr="00DD59EA">
        <w:rPr>
          <w:rFonts w:ascii="Palatino Linotype" w:hAnsi="Palatino Linotype" w:cs="Arial"/>
          <w:b/>
          <w:i/>
          <w:sz w:val="22"/>
          <w:szCs w:val="22"/>
        </w:rPr>
        <w:t xml:space="preserve">Artículo 23. Son sujetos obligados a transparentar y permitir el acceso a su información y </w:t>
      </w:r>
      <w:r w:rsidRPr="00DD59EA">
        <w:rPr>
          <w:rFonts w:ascii="Palatino Linotype" w:hAnsi="Palatino Linotype"/>
          <w:b/>
          <w:i/>
          <w:sz w:val="22"/>
          <w:szCs w:val="22"/>
        </w:rPr>
        <w:t>proteger</w:t>
      </w:r>
      <w:r w:rsidRPr="00DD59EA">
        <w:rPr>
          <w:rFonts w:ascii="Palatino Linotype" w:hAnsi="Palatino Linotype" w:cs="Arial"/>
          <w:b/>
          <w:i/>
          <w:sz w:val="22"/>
          <w:szCs w:val="22"/>
        </w:rPr>
        <w:t xml:space="preserve"> los datos personales que obren en su poder</w:t>
      </w:r>
      <w:r w:rsidRPr="00DD59EA">
        <w:rPr>
          <w:rFonts w:ascii="Palatino Linotype" w:hAnsi="Palatino Linotype" w:cs="Arial"/>
          <w:i/>
          <w:sz w:val="22"/>
          <w:szCs w:val="22"/>
        </w:rPr>
        <w:t>:</w:t>
      </w:r>
    </w:p>
    <w:p w:rsidR="00155C62" w:rsidRPr="00DD59EA" w:rsidRDefault="00155C62" w:rsidP="00DA47BB">
      <w:pPr>
        <w:ind w:left="851" w:right="902"/>
        <w:jc w:val="both"/>
        <w:rPr>
          <w:rFonts w:ascii="Palatino Linotype" w:hAnsi="Palatino Linotype" w:cs="Arial"/>
          <w:b/>
          <w:i/>
          <w:sz w:val="22"/>
          <w:szCs w:val="22"/>
        </w:rPr>
      </w:pPr>
      <w:r w:rsidRPr="00DD59EA">
        <w:rPr>
          <w:rFonts w:ascii="Palatino Linotype" w:hAnsi="Palatino Linotype" w:cs="Arial"/>
          <w:b/>
          <w:i/>
          <w:sz w:val="22"/>
          <w:szCs w:val="22"/>
        </w:rPr>
        <w:t>I. El Poder Ejecutivo del Estado de México</w:t>
      </w:r>
      <w:r w:rsidRPr="00DD59EA">
        <w:rPr>
          <w:rFonts w:ascii="Palatino Linotype" w:hAnsi="Palatino Linotype" w:cs="Arial"/>
          <w:i/>
          <w:sz w:val="22"/>
          <w:szCs w:val="22"/>
        </w:rPr>
        <w:t>, las dependencias, organismos auxiliares,</w:t>
      </w:r>
      <w:r w:rsidRPr="00DD59EA">
        <w:rPr>
          <w:rFonts w:ascii="Palatino Linotype" w:hAnsi="Palatino Linotype" w:cs="Arial"/>
          <w:b/>
          <w:i/>
          <w:sz w:val="22"/>
          <w:szCs w:val="22"/>
        </w:rPr>
        <w:t xml:space="preserve"> </w:t>
      </w:r>
      <w:r w:rsidRPr="00DD59EA">
        <w:rPr>
          <w:rFonts w:ascii="Palatino Linotype" w:hAnsi="Palatino Linotype" w:cs="Arial"/>
          <w:i/>
          <w:sz w:val="22"/>
          <w:szCs w:val="22"/>
        </w:rPr>
        <w:t xml:space="preserve">órganos, </w:t>
      </w:r>
      <w:r w:rsidRPr="00DD59EA">
        <w:rPr>
          <w:rFonts w:ascii="Palatino Linotype" w:hAnsi="Palatino Linotype"/>
          <w:i/>
          <w:sz w:val="22"/>
          <w:szCs w:val="22"/>
        </w:rPr>
        <w:t>entidades</w:t>
      </w:r>
      <w:r w:rsidRPr="00DD59EA">
        <w:rPr>
          <w:rFonts w:ascii="Palatino Linotype" w:hAnsi="Palatino Linotype" w:cs="Arial"/>
          <w:i/>
          <w:sz w:val="22"/>
          <w:szCs w:val="22"/>
        </w:rPr>
        <w:t>, fideicomisos y fondos públicos, así como la Procuraduría General de Justicia;</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i/>
          <w:sz w:val="22"/>
          <w:szCs w:val="22"/>
        </w:rPr>
        <w:t xml:space="preserve">II. El Poder </w:t>
      </w:r>
      <w:r w:rsidRPr="00DD59EA">
        <w:rPr>
          <w:rFonts w:ascii="Palatino Linotype" w:hAnsi="Palatino Linotype"/>
          <w:i/>
          <w:sz w:val="22"/>
          <w:szCs w:val="22"/>
        </w:rPr>
        <w:t>Legislativo</w:t>
      </w:r>
      <w:r w:rsidRPr="00DD59EA">
        <w:rPr>
          <w:rFonts w:ascii="Palatino Linotype" w:hAnsi="Palatino Linotype" w:cs="Arial"/>
          <w:i/>
          <w:sz w:val="22"/>
          <w:szCs w:val="22"/>
        </w:rPr>
        <w:t xml:space="preserve"> del Estado, los organismos, órganos y entidades de la Legislatura y sus dependencias;</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i/>
          <w:sz w:val="22"/>
          <w:szCs w:val="22"/>
        </w:rPr>
        <w:t xml:space="preserve">III. El Poder </w:t>
      </w:r>
      <w:r w:rsidRPr="00DD59EA">
        <w:rPr>
          <w:rFonts w:ascii="Palatino Linotype" w:hAnsi="Palatino Linotype"/>
          <w:i/>
          <w:sz w:val="22"/>
          <w:szCs w:val="22"/>
        </w:rPr>
        <w:t>Judicial</w:t>
      </w:r>
      <w:r w:rsidRPr="00DD59EA">
        <w:rPr>
          <w:rFonts w:ascii="Palatino Linotype" w:hAnsi="Palatino Linotype" w:cs="Arial"/>
          <w:i/>
          <w:sz w:val="22"/>
          <w:szCs w:val="22"/>
        </w:rPr>
        <w:t xml:space="preserve">, sus organismos, órganos y entidades, así como el Consejo de la </w:t>
      </w:r>
      <w:r w:rsidRPr="00DD59EA">
        <w:rPr>
          <w:rFonts w:ascii="Palatino Linotype" w:hAnsi="Palatino Linotype"/>
          <w:i/>
          <w:sz w:val="22"/>
          <w:szCs w:val="22"/>
        </w:rPr>
        <w:t>Judicatura</w:t>
      </w:r>
      <w:r w:rsidRPr="00DD59EA">
        <w:rPr>
          <w:rFonts w:ascii="Palatino Linotype" w:hAnsi="Palatino Linotype" w:cs="Arial"/>
          <w:i/>
          <w:sz w:val="22"/>
          <w:szCs w:val="22"/>
        </w:rPr>
        <w:t xml:space="preserve"> del Estado;</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i/>
          <w:sz w:val="22"/>
          <w:szCs w:val="22"/>
        </w:rPr>
        <w:lastRenderedPageBreak/>
        <w:t>IV.</w:t>
      </w:r>
      <w:r w:rsidRPr="00DD59EA">
        <w:rPr>
          <w:rFonts w:ascii="Palatino Linotype" w:hAnsi="Palatino Linotype" w:cs="Arial"/>
          <w:b/>
          <w:i/>
          <w:sz w:val="22"/>
          <w:szCs w:val="22"/>
        </w:rPr>
        <w:t xml:space="preserve"> </w:t>
      </w:r>
      <w:r w:rsidRPr="00DD59EA">
        <w:rPr>
          <w:rFonts w:ascii="Palatino Linotype" w:hAnsi="Palatino Linotype" w:cs="Arial"/>
          <w:i/>
          <w:sz w:val="22"/>
          <w:szCs w:val="22"/>
        </w:rPr>
        <w:t>Los ayuntamientos y las dependencias, organismos, órganos y entidades de la administración municipal;</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i/>
          <w:sz w:val="22"/>
          <w:szCs w:val="22"/>
        </w:rPr>
        <w:t xml:space="preserve">V. Los </w:t>
      </w:r>
      <w:r w:rsidRPr="00DD59EA">
        <w:rPr>
          <w:rFonts w:ascii="Palatino Linotype" w:hAnsi="Palatino Linotype"/>
          <w:i/>
          <w:sz w:val="22"/>
          <w:szCs w:val="22"/>
        </w:rPr>
        <w:t>órganos</w:t>
      </w:r>
      <w:r w:rsidRPr="00DD59EA">
        <w:rPr>
          <w:rFonts w:ascii="Palatino Linotype" w:hAnsi="Palatino Linotype" w:cs="Arial"/>
          <w:i/>
          <w:sz w:val="22"/>
          <w:szCs w:val="22"/>
        </w:rPr>
        <w:t xml:space="preserve"> </w:t>
      </w:r>
      <w:r w:rsidRPr="00DD59EA">
        <w:rPr>
          <w:rFonts w:ascii="Palatino Linotype" w:hAnsi="Palatino Linotype"/>
          <w:i/>
          <w:sz w:val="22"/>
          <w:szCs w:val="22"/>
        </w:rPr>
        <w:t>autónomos</w:t>
      </w:r>
      <w:r w:rsidRPr="00DD59EA">
        <w:rPr>
          <w:rFonts w:ascii="Palatino Linotype" w:hAnsi="Palatino Linotype" w:cs="Arial"/>
          <w:i/>
          <w:sz w:val="22"/>
          <w:szCs w:val="22"/>
        </w:rPr>
        <w:t>;</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cs="Arial"/>
          <w:i/>
          <w:sz w:val="22"/>
          <w:szCs w:val="22"/>
        </w:rPr>
        <w:t xml:space="preserve">VI. Los </w:t>
      </w:r>
      <w:r w:rsidRPr="00DD59EA">
        <w:rPr>
          <w:rFonts w:ascii="Palatino Linotype" w:hAnsi="Palatino Linotype"/>
          <w:i/>
          <w:sz w:val="22"/>
          <w:szCs w:val="22"/>
        </w:rPr>
        <w:t>tribunales administrativos y autoridades jurisdiccionales en materia laboral;</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VII. Los partidos políticos y agrupaciones políticas, en los términos de las disposiciones aplicables;</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VIII. Los fideicomisos y fondos públicos que cuenten con financiamiento público, parcial o total, o con participación de entidades de gobierno;</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IX. Los sindicatos que reciban y/o ejerzan recursos públicos en el ámbito estatal y municipal;</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X. Cualquier persona física o jurídico colectiva que reciba y ejerza recursos públicos en el ámbito estatal o municipal; y</w:t>
      </w:r>
    </w:p>
    <w:p w:rsidR="00155C62" w:rsidRPr="00DD59EA" w:rsidRDefault="00155C62" w:rsidP="00DA47BB">
      <w:pPr>
        <w:ind w:left="851" w:right="902"/>
        <w:jc w:val="both"/>
        <w:rPr>
          <w:rFonts w:ascii="Palatino Linotype" w:hAnsi="Palatino Linotype"/>
          <w:b/>
          <w:i/>
          <w:sz w:val="22"/>
          <w:szCs w:val="22"/>
        </w:rPr>
      </w:pPr>
      <w:r w:rsidRPr="00DD59EA">
        <w:rPr>
          <w:rFonts w:ascii="Palatino Linotype" w:hAnsi="Palatino Linotype"/>
          <w:b/>
          <w:i/>
          <w:sz w:val="22"/>
          <w:szCs w:val="22"/>
        </w:rPr>
        <w:t>XI. Cualquier otra autoridad, entidad, órgano u organismo de los poderes estatal o municipal, que reciba recursos públicos.</w:t>
      </w:r>
    </w:p>
    <w:p w:rsidR="00155C62" w:rsidRPr="00DD59EA" w:rsidRDefault="00155C62" w:rsidP="00DA47BB">
      <w:pPr>
        <w:ind w:left="851" w:right="902"/>
        <w:jc w:val="both"/>
        <w:rPr>
          <w:rFonts w:ascii="Palatino Linotype" w:hAnsi="Palatino Linotype"/>
          <w:i/>
          <w:sz w:val="22"/>
          <w:szCs w:val="22"/>
        </w:rPr>
      </w:pPr>
      <w:r w:rsidRPr="00DD59EA">
        <w:rPr>
          <w:rFonts w:ascii="Palatino Linotype" w:hAnsi="Palatino Linotype"/>
          <w:i/>
          <w:sz w:val="22"/>
          <w:szCs w:val="22"/>
        </w:rPr>
        <w:t>Los sujetos obligados deberán hacer pública toda aquella información relativa a los montos y las personas a quienes entreguen, por cualquier motivo, recursos públicos, así como los informes que dichas personas les entreguen sobre el uso y destino de dichos recursos.</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b/>
          <w:i/>
          <w:sz w:val="22"/>
          <w:szCs w:val="22"/>
        </w:rPr>
        <w:t>Los servidores públicos deberán</w:t>
      </w:r>
      <w:r w:rsidRPr="00DD59EA">
        <w:rPr>
          <w:rFonts w:ascii="Palatino Linotype" w:hAnsi="Palatino Linotype" w:cs="Arial"/>
          <w:i/>
          <w:sz w:val="22"/>
          <w:szCs w:val="22"/>
        </w:rPr>
        <w:t xml:space="preserve"> transparentar sus acciones así como </w:t>
      </w:r>
      <w:r w:rsidRPr="00DD59EA">
        <w:rPr>
          <w:rFonts w:ascii="Palatino Linotype" w:hAnsi="Palatino Linotype" w:cs="Arial"/>
          <w:b/>
          <w:i/>
          <w:sz w:val="22"/>
          <w:szCs w:val="22"/>
        </w:rPr>
        <w:t>garantizar y respetar el derecho de acceso a la información pública</w:t>
      </w:r>
      <w:r w:rsidRPr="00DD59EA">
        <w:rPr>
          <w:rFonts w:ascii="Palatino Linotype" w:hAnsi="Palatino Linotype" w:cs="Arial"/>
          <w:i/>
          <w:sz w:val="22"/>
          <w:szCs w:val="22"/>
        </w:rPr>
        <w:t>.”</w:t>
      </w:r>
    </w:p>
    <w:p w:rsidR="00155C62" w:rsidRPr="00DD59EA" w:rsidRDefault="00155C62" w:rsidP="00DA47BB">
      <w:pPr>
        <w:ind w:left="851" w:right="902"/>
        <w:jc w:val="both"/>
        <w:rPr>
          <w:rFonts w:ascii="Palatino Linotype" w:hAnsi="Palatino Linotype" w:cs="Arial"/>
          <w:i/>
          <w:sz w:val="22"/>
          <w:szCs w:val="22"/>
        </w:rPr>
      </w:pPr>
      <w:r w:rsidRPr="00DD59EA">
        <w:rPr>
          <w:rFonts w:ascii="Palatino Linotype" w:hAnsi="Palatino Linotype" w:cs="Arial"/>
          <w:i/>
          <w:sz w:val="22"/>
          <w:szCs w:val="22"/>
        </w:rPr>
        <w:t>(Énfasis añadido)</w:t>
      </w:r>
    </w:p>
    <w:p w:rsidR="00155C62" w:rsidRPr="00DD59EA" w:rsidRDefault="00155C62"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Es así</w:t>
      </w:r>
      <w:r w:rsidR="004A463E" w:rsidRPr="00DD59EA">
        <w:rPr>
          <w:rFonts w:ascii="Palatino Linotype" w:hAnsi="Palatino Linotype" w:cs="Arial"/>
        </w:rPr>
        <w:t xml:space="preserve">, que </w:t>
      </w:r>
      <w:r w:rsidRPr="00DD59EA">
        <w:rPr>
          <w:rFonts w:ascii="Palatino Linotype" w:hAnsi="Palatino Linotype" w:cs="Arial"/>
        </w:rPr>
        <w:t xml:space="preserve">conforme a los preceptos legales citados, se desprende que el derecho de acceso a la información pública es un derecho individual que puede ser ejercido ante cualquier autoridad, entidad, órgano u organismo, tanto federales, como estatales, de la Ciudad de México, o Municipales, con el fin de que los particulares conozcan toda aquella información que es considerada como pública. </w:t>
      </w:r>
    </w:p>
    <w:p w:rsidR="0009192B" w:rsidRPr="00DD59EA" w:rsidRDefault="0009192B"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Derivado de lo anterior, es necesario referir que, el Reglamento Interior de la Universidad </w:t>
      </w:r>
      <w:r w:rsidR="00190263" w:rsidRPr="00DD59EA">
        <w:rPr>
          <w:rFonts w:ascii="Palatino Linotype" w:hAnsi="Palatino Linotype" w:cs="Arial"/>
        </w:rPr>
        <w:t xml:space="preserve">Politécnica </w:t>
      </w:r>
      <w:r w:rsidRPr="00DD59EA">
        <w:rPr>
          <w:rFonts w:ascii="Palatino Linotype" w:hAnsi="Palatino Linotype" w:cs="Arial"/>
        </w:rPr>
        <w:t xml:space="preserve">del </w:t>
      </w:r>
      <w:r w:rsidR="00190263" w:rsidRPr="00DD59EA">
        <w:rPr>
          <w:rFonts w:ascii="Palatino Linotype" w:hAnsi="Palatino Linotype" w:cs="Arial"/>
        </w:rPr>
        <w:t>Valle de Toluca, en lo que nos interesa establece que:</w:t>
      </w:r>
    </w:p>
    <w:p w:rsidR="0009192B" w:rsidRPr="00DD59EA" w:rsidRDefault="00190263" w:rsidP="00DA47BB">
      <w:pPr>
        <w:ind w:left="851" w:right="902"/>
        <w:jc w:val="both"/>
        <w:rPr>
          <w:rFonts w:ascii="Palatino Linotype" w:hAnsi="Palatino Linotype"/>
          <w:b/>
          <w:i/>
          <w:sz w:val="22"/>
          <w:szCs w:val="22"/>
        </w:rPr>
      </w:pPr>
      <w:r w:rsidRPr="00DD59EA">
        <w:rPr>
          <w:rFonts w:ascii="Palatino Linotype" w:hAnsi="Palatino Linotype"/>
          <w:b/>
          <w:i/>
          <w:sz w:val="22"/>
          <w:szCs w:val="22"/>
        </w:rPr>
        <w:t>“</w:t>
      </w:r>
      <w:r w:rsidR="0009192B" w:rsidRPr="00DD59EA">
        <w:rPr>
          <w:rFonts w:ascii="Palatino Linotype" w:hAnsi="Palatino Linotype"/>
          <w:b/>
          <w:i/>
          <w:sz w:val="22"/>
          <w:szCs w:val="22"/>
        </w:rPr>
        <w:t>Artículo 11.-</w:t>
      </w:r>
      <w:r w:rsidR="0009192B" w:rsidRPr="00DD59EA">
        <w:rPr>
          <w:rFonts w:ascii="Palatino Linotype" w:hAnsi="Palatino Linotype"/>
          <w:i/>
          <w:sz w:val="22"/>
          <w:szCs w:val="22"/>
        </w:rPr>
        <w:t xml:space="preserve"> </w:t>
      </w:r>
      <w:r w:rsidR="0009192B" w:rsidRPr="00DD59EA">
        <w:rPr>
          <w:rFonts w:ascii="Palatino Linotype" w:hAnsi="Palatino Linotype"/>
          <w:b/>
          <w:i/>
          <w:sz w:val="22"/>
          <w:szCs w:val="22"/>
        </w:rPr>
        <w:t>Para el estudio, planeación y despacho de los asuntos de su competencia, el Rector se auxiliará de las unidades administrativas básicas siguientes:</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w:t>
      </w:r>
    </w:p>
    <w:p w:rsidR="00190263" w:rsidRPr="00DD59EA" w:rsidRDefault="00190263" w:rsidP="00DA47BB">
      <w:pPr>
        <w:ind w:left="851" w:right="902"/>
        <w:jc w:val="both"/>
        <w:rPr>
          <w:rFonts w:ascii="Palatino Linotype" w:hAnsi="Palatino Linotype"/>
          <w:b/>
          <w:i/>
          <w:sz w:val="22"/>
          <w:szCs w:val="22"/>
        </w:rPr>
      </w:pPr>
      <w:r w:rsidRPr="00DD59EA">
        <w:rPr>
          <w:rFonts w:ascii="Palatino Linotype" w:hAnsi="Palatino Linotype"/>
          <w:b/>
          <w:i/>
          <w:sz w:val="22"/>
          <w:szCs w:val="22"/>
        </w:rPr>
        <w:lastRenderedPageBreak/>
        <w:t xml:space="preserve">VI. Dirección de Administración y Finanzas. </w:t>
      </w:r>
    </w:p>
    <w:p w:rsidR="00190263" w:rsidRPr="00DD59EA" w:rsidRDefault="00190263" w:rsidP="00DA47BB">
      <w:pPr>
        <w:ind w:left="851" w:right="902"/>
        <w:jc w:val="both"/>
        <w:rPr>
          <w:rFonts w:ascii="Palatino Linotype" w:hAnsi="Palatino Linotype"/>
          <w:b/>
          <w:i/>
          <w:sz w:val="22"/>
          <w:szCs w:val="22"/>
        </w:rPr>
      </w:pPr>
      <w:r w:rsidRPr="00DD59EA">
        <w:rPr>
          <w:rFonts w:ascii="Palatino Linotype" w:hAnsi="Palatino Linotype"/>
          <w:b/>
          <w:i/>
          <w:sz w:val="22"/>
          <w:szCs w:val="22"/>
        </w:rPr>
        <w:t>…</w:t>
      </w:r>
    </w:p>
    <w:p w:rsidR="00190263" w:rsidRPr="00DD59EA" w:rsidRDefault="00190263" w:rsidP="00DA47BB">
      <w:pPr>
        <w:ind w:left="851" w:right="902"/>
        <w:jc w:val="both"/>
        <w:rPr>
          <w:rFonts w:ascii="Palatino Linotype" w:hAnsi="Palatino Linotype"/>
          <w:b/>
          <w:i/>
          <w:sz w:val="22"/>
          <w:szCs w:val="22"/>
        </w:rPr>
      </w:pPr>
      <w:r w:rsidRPr="00DD59EA">
        <w:rPr>
          <w:rFonts w:ascii="Palatino Linotype" w:hAnsi="Palatino Linotype"/>
          <w:b/>
          <w:i/>
          <w:sz w:val="22"/>
          <w:szCs w:val="22"/>
        </w:rPr>
        <w:t>Artículo 16.-</w:t>
      </w:r>
      <w:r w:rsidRPr="00DD59EA">
        <w:rPr>
          <w:rFonts w:ascii="Palatino Linotype" w:hAnsi="Palatino Linotype"/>
          <w:i/>
          <w:sz w:val="22"/>
          <w:szCs w:val="22"/>
        </w:rPr>
        <w:t xml:space="preserve"> </w:t>
      </w:r>
      <w:r w:rsidRPr="00DD59EA">
        <w:rPr>
          <w:rFonts w:ascii="Palatino Linotype" w:hAnsi="Palatino Linotype"/>
          <w:b/>
          <w:i/>
          <w:sz w:val="22"/>
          <w:szCs w:val="22"/>
        </w:rPr>
        <w:t>Corresponde a la Dirección de Administración y Finanzas, las atribuciones siguientes:</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b/>
          <w:i/>
          <w:sz w:val="22"/>
          <w:szCs w:val="22"/>
        </w:rPr>
        <w:t>I. Planear, organizar y controlar el suministro, administración y aplicación de los recursos humanos, materiales y financieros;</w:t>
      </w:r>
      <w:r w:rsidRPr="00DD59EA">
        <w:rPr>
          <w:rFonts w:ascii="Palatino Linotype" w:hAnsi="Palatino Linotype"/>
          <w:i/>
          <w:sz w:val="22"/>
          <w:szCs w:val="22"/>
        </w:rPr>
        <w:t xml:space="preserve"> así como los servicios generales necesarios para el funcionamiento de las unidades administrativas de la Universidad en términos de la normatividad en la materia.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b/>
          <w:i/>
          <w:sz w:val="22"/>
          <w:szCs w:val="22"/>
        </w:rPr>
        <w:t xml:space="preserve">II. Establecer, en el ámbito de su competencia, políticas y procedimientos para la administración de los recursos humanos, materiales y financieros, </w:t>
      </w:r>
      <w:r w:rsidRPr="00DD59EA">
        <w:rPr>
          <w:rFonts w:ascii="Palatino Linotype" w:hAnsi="Palatino Linotype"/>
          <w:i/>
          <w:sz w:val="22"/>
          <w:szCs w:val="22"/>
        </w:rPr>
        <w:t xml:space="preserve">así como llevar a cabo su seguimiento y control, de acuerdo con los objetivos y estrategias definidas en los programas de la Universidad.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III. Integrar el anteproyecto de presupuesto anual de ingresos y egresos de la Universidad y someterlo a consideración del Rector, así como realizar la calendarización de los recursos de los presupuestos autorizados y tramitar las modificaciones y ampliaciones presupuestales.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IV. Formular los estados financieros y demás informes en la materia y realizar el registro de la contabilidad patrimonial y presupuestaria de la Universidad.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V. Controlar el gasto de inversión y gasto corriente a nivel presupuestal, con el propósito de evitar dispendios y desviaciones en su ejercicio.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VI. Ejecutar los procedimientos y mecanismos sobre el ejercicio y control del presupuesto de gasto corriente y de inversión de la Universidad, y verificar su aplicación.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VII. Coordinar la adquisición y dotación oportuna de los bienes y servicios que soliciten las diferentes unidades administrativas de la Universidad, de conformidad con el presupuesto autorizado y procedimientos correspondientes.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VIII. Presidir los Comités de Adquisiciones y de Servicios; Arrendamientos, Adquisiciones de Inmuebles y Enajenaciones; y de Obra Pública de la Universidad, de conformidad con la normatividad aplicable.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IX. Coordinar y, en su caso, ejecutar los procedimientos de adquisiciones y servicios; arrendamientos, adquisiciones de inmuebles y enajenaciones; y de obra pública y servicios relacionados con la misma que requiera la Universidad, de acuerdo con la normatividad aplicable.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 Suscribir los contratos y convenios derivados de los procedimientos adquisitivos de bienes, arrendamientos, servicios, obra pública y servicios relacionados con la misma, con base en la normatividad aplicable, previo acuerdo del Rector, así como rescindir administrativamente los contratos y convenios derivados de los procedimientos que haya celebrado la Universidad. </w:t>
      </w:r>
    </w:p>
    <w:p w:rsidR="00190263" w:rsidRPr="00DD59EA" w:rsidRDefault="00190263" w:rsidP="00DA47BB">
      <w:pPr>
        <w:ind w:left="851" w:right="902"/>
        <w:jc w:val="both"/>
        <w:rPr>
          <w:rFonts w:ascii="Palatino Linotype" w:hAnsi="Palatino Linotype"/>
          <w:b/>
          <w:i/>
          <w:sz w:val="22"/>
          <w:szCs w:val="22"/>
        </w:rPr>
      </w:pPr>
      <w:r w:rsidRPr="00DD59EA">
        <w:rPr>
          <w:rFonts w:ascii="Palatino Linotype" w:hAnsi="Palatino Linotype"/>
          <w:b/>
          <w:i/>
          <w:sz w:val="22"/>
          <w:szCs w:val="22"/>
        </w:rPr>
        <w:lastRenderedPageBreak/>
        <w:t xml:space="preserve">XI. Tramitar los movimientos de ingreso, contratación, cambios, permisos, licencias, incidencias, remuneraciones y demás prestaciones del personal de la Universidad, en términos de las disposiciones legales. </w:t>
      </w:r>
    </w:p>
    <w:p w:rsidR="00190263" w:rsidRPr="00DD59EA" w:rsidRDefault="00190263" w:rsidP="00DA47BB">
      <w:pPr>
        <w:ind w:left="851" w:right="902"/>
        <w:jc w:val="both"/>
        <w:rPr>
          <w:rFonts w:ascii="Palatino Linotype" w:hAnsi="Palatino Linotype"/>
          <w:b/>
          <w:i/>
          <w:sz w:val="22"/>
          <w:szCs w:val="22"/>
        </w:rPr>
      </w:pPr>
      <w:r w:rsidRPr="00DD59EA">
        <w:rPr>
          <w:rFonts w:ascii="Palatino Linotype" w:hAnsi="Palatino Linotype"/>
          <w:b/>
          <w:i/>
          <w:sz w:val="22"/>
          <w:szCs w:val="22"/>
        </w:rPr>
        <w:t xml:space="preserve">XII. Conducir y coordinar las relaciones laborales entre el personal y las autoridades de la Universidad, conforme a los ordenamientos legales aplicables en materia de trabajo.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XIII. Promover la capacitación y desarrollo del personal administrativo y docente de la Universidad.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XIV. Supervisar el registro, control, mantenimiento y conservación de los bienes muebles e inmuebles asignados a las unidades administrativas del Organismo, y aplicar la normatividad que corresponda.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XV. Establecer políticas y procedimientos para la administración y funcionamiento de los almacenes de la Universidad, así como para el control de inventarios.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XVI. Gestionar los contratos de seguros y fianzas para garantizar los actos relacionados con bienes y derechos patrimoniales de la Universidad.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XVII. Determinar y controlar las medidas de seguridad y vigilancia de las instalaciones y bienes de la Universidad, así como instrumentar mecanismos preventivos y dispositivos de emergencia en caso de desastre.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XVIII. Coordinar las acciones de protección civil de la Universidad, con base en las normas y políticas aplicables.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 xml:space="preserve">XIX. Coordinar las acciones referentes al mantenimiento preventivo y/o correctivo de los edificios e instalaciones de la Universidad. </w:t>
      </w:r>
    </w:p>
    <w:p w:rsidR="00190263" w:rsidRPr="00DD59EA" w:rsidRDefault="00190263" w:rsidP="00DA47BB">
      <w:pPr>
        <w:ind w:left="851" w:right="902"/>
        <w:jc w:val="both"/>
        <w:rPr>
          <w:rFonts w:ascii="Palatino Linotype" w:hAnsi="Palatino Linotype"/>
          <w:i/>
          <w:sz w:val="22"/>
          <w:szCs w:val="22"/>
        </w:rPr>
      </w:pPr>
      <w:r w:rsidRPr="00DD59EA">
        <w:rPr>
          <w:rFonts w:ascii="Palatino Linotype" w:hAnsi="Palatino Linotype"/>
          <w:i/>
          <w:sz w:val="22"/>
          <w:szCs w:val="22"/>
        </w:rPr>
        <w:t>XX. Las demás que le confieran otras disposiciones legales y aquéllas que le encomiende el Rector.</w:t>
      </w:r>
    </w:p>
    <w:p w:rsidR="00190263" w:rsidRPr="00DD59EA" w:rsidRDefault="008D1696"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Luego, de la normativa inserta se puede advertir que el Rector del </w:t>
      </w:r>
      <w:r w:rsidRPr="00DD59EA">
        <w:rPr>
          <w:rFonts w:ascii="Palatino Linotype" w:hAnsi="Palatino Linotype" w:cs="Arial"/>
          <w:b/>
        </w:rPr>
        <w:t xml:space="preserve">SUJETO OBLIGADO </w:t>
      </w:r>
      <w:r w:rsidRPr="00DD59EA">
        <w:rPr>
          <w:rFonts w:ascii="Palatino Linotype" w:hAnsi="Palatino Linotype" w:cs="Arial"/>
        </w:rPr>
        <w:t>se auxiliará de</w:t>
      </w:r>
      <w:r w:rsidR="00690949" w:rsidRPr="00DD59EA">
        <w:rPr>
          <w:rFonts w:ascii="Palatino Linotype" w:hAnsi="Palatino Linotype" w:cs="Arial"/>
        </w:rPr>
        <w:t xml:space="preserve"> diversas </w:t>
      </w:r>
      <w:r w:rsidRPr="00DD59EA">
        <w:rPr>
          <w:rFonts w:ascii="Palatino Linotype" w:hAnsi="Palatino Linotype" w:cs="Arial"/>
        </w:rPr>
        <w:t xml:space="preserve">Unidades </w:t>
      </w:r>
      <w:r w:rsidR="00690949" w:rsidRPr="00DD59EA">
        <w:rPr>
          <w:rFonts w:ascii="Palatino Linotype" w:hAnsi="Palatino Linotype" w:cs="Arial"/>
        </w:rPr>
        <w:t>Administrativas, entre ellas la Dirección de Administración y Finanzas, misma que tendrá las atribuciones de:</w:t>
      </w:r>
    </w:p>
    <w:p w:rsidR="00690949" w:rsidRPr="00DD59EA" w:rsidRDefault="00690949" w:rsidP="00DA47BB">
      <w:pPr>
        <w:pStyle w:val="Prrafodelista"/>
        <w:numPr>
          <w:ilvl w:val="0"/>
          <w:numId w:val="8"/>
        </w:numPr>
        <w:spacing w:before="100" w:beforeAutospacing="1" w:after="100" w:afterAutospacing="1" w:line="360" w:lineRule="auto"/>
        <w:contextualSpacing w:val="0"/>
        <w:jc w:val="both"/>
        <w:rPr>
          <w:rFonts w:ascii="Palatino Linotype" w:hAnsi="Palatino Linotype" w:cs="Arial"/>
        </w:rPr>
      </w:pPr>
      <w:r w:rsidRPr="00DD59EA">
        <w:rPr>
          <w:rFonts w:ascii="Palatino Linotype" w:hAnsi="Palatino Linotype" w:cs="Arial"/>
        </w:rPr>
        <w:t>Planear, organizar y controlar el suministro, administración y aplicación de los recursos humanos, materiales y financieros.</w:t>
      </w:r>
    </w:p>
    <w:p w:rsidR="00690949" w:rsidRPr="00DD59EA" w:rsidRDefault="00690949" w:rsidP="00DA47BB">
      <w:pPr>
        <w:pStyle w:val="Prrafodelista"/>
        <w:numPr>
          <w:ilvl w:val="0"/>
          <w:numId w:val="8"/>
        </w:numPr>
        <w:spacing w:before="100" w:beforeAutospacing="1" w:after="100" w:afterAutospacing="1" w:line="360" w:lineRule="auto"/>
        <w:contextualSpacing w:val="0"/>
        <w:jc w:val="both"/>
        <w:rPr>
          <w:rFonts w:ascii="Palatino Linotype" w:hAnsi="Palatino Linotype" w:cs="Arial"/>
        </w:rPr>
      </w:pPr>
      <w:r w:rsidRPr="00DD59EA">
        <w:rPr>
          <w:rFonts w:ascii="Palatino Linotype" w:hAnsi="Palatino Linotype" w:cs="Arial"/>
        </w:rPr>
        <w:t>Establecer políticas y procedimientos para la administración de los recursos humanos, materiales y financieros.</w:t>
      </w:r>
    </w:p>
    <w:p w:rsidR="00690949" w:rsidRPr="00DD59EA" w:rsidRDefault="00690949" w:rsidP="00DA47BB">
      <w:pPr>
        <w:pStyle w:val="Prrafodelista"/>
        <w:numPr>
          <w:ilvl w:val="0"/>
          <w:numId w:val="8"/>
        </w:numPr>
        <w:spacing w:before="100" w:beforeAutospacing="1" w:after="100" w:afterAutospacing="1" w:line="360" w:lineRule="auto"/>
        <w:contextualSpacing w:val="0"/>
        <w:jc w:val="both"/>
        <w:rPr>
          <w:rFonts w:ascii="Palatino Linotype" w:hAnsi="Palatino Linotype" w:cs="Arial"/>
        </w:rPr>
      </w:pPr>
      <w:r w:rsidRPr="00DD59EA">
        <w:rPr>
          <w:rFonts w:ascii="Palatino Linotype" w:hAnsi="Palatino Linotype" w:cs="Arial"/>
        </w:rPr>
        <w:lastRenderedPageBreak/>
        <w:t>Tramitar los movimientos de ingreso, contratación, cambios, permisos, licencias, remuneraciones y demás prestaciones del personal de la Universidad.</w:t>
      </w:r>
    </w:p>
    <w:p w:rsidR="00690949" w:rsidRPr="00DD59EA" w:rsidRDefault="00690949" w:rsidP="00DA47BB">
      <w:pPr>
        <w:pStyle w:val="Prrafodelista"/>
        <w:numPr>
          <w:ilvl w:val="0"/>
          <w:numId w:val="8"/>
        </w:numPr>
        <w:spacing w:before="100" w:beforeAutospacing="1" w:after="100" w:afterAutospacing="1" w:line="360" w:lineRule="auto"/>
        <w:contextualSpacing w:val="0"/>
        <w:jc w:val="both"/>
        <w:rPr>
          <w:rFonts w:ascii="Palatino Linotype" w:hAnsi="Palatino Linotype" w:cs="Arial"/>
        </w:rPr>
      </w:pPr>
      <w:r w:rsidRPr="00DD59EA">
        <w:rPr>
          <w:rFonts w:ascii="Palatino Linotype" w:hAnsi="Palatino Linotype" w:cs="Arial"/>
        </w:rPr>
        <w:t>Conducir y coordinar las relaciones laborales entre el personal y las autoridades de la Universidad, conforme a los ordenamientos legales aplicables.</w:t>
      </w:r>
    </w:p>
    <w:p w:rsidR="00690949" w:rsidRPr="00DD59EA" w:rsidRDefault="00690949"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En ese tenor, conviene resaltar que el Manual General de Organización de la Universidad Politécnica del </w:t>
      </w:r>
      <w:r w:rsidR="004A463E" w:rsidRPr="00DD59EA">
        <w:rPr>
          <w:rFonts w:ascii="Palatino Linotype" w:hAnsi="Palatino Linotype" w:cs="Arial"/>
        </w:rPr>
        <w:t>Valle de Toluca</w:t>
      </w:r>
      <w:r w:rsidR="000A2DEF" w:rsidRPr="00DD59EA">
        <w:rPr>
          <w:rFonts w:ascii="Palatino Linotype" w:hAnsi="Palatino Linotype" w:cs="Arial"/>
        </w:rPr>
        <w:t xml:space="preserve"> contempla que</w:t>
      </w:r>
      <w:r w:rsidR="004A463E" w:rsidRPr="00DD59EA">
        <w:rPr>
          <w:rFonts w:ascii="Palatino Linotype" w:hAnsi="Palatino Linotype" w:cs="Arial"/>
        </w:rPr>
        <w:t>,</w:t>
      </w:r>
      <w:r w:rsidR="000A2DEF" w:rsidRPr="00DD59EA">
        <w:rPr>
          <w:rFonts w:ascii="Palatino Linotype" w:hAnsi="Palatino Linotype" w:cs="Arial"/>
        </w:rPr>
        <w:t xml:space="preserve"> dentro de la estructura orgánica de la</w:t>
      </w:r>
      <w:r w:rsidR="004A463E" w:rsidRPr="00DD59EA">
        <w:rPr>
          <w:rFonts w:ascii="Palatino Linotype" w:hAnsi="Palatino Linotype" w:cs="Arial"/>
        </w:rPr>
        <w:t>s Unidades</w:t>
      </w:r>
      <w:r w:rsidR="00CC4448" w:rsidRPr="00DD59EA">
        <w:rPr>
          <w:rFonts w:ascii="Palatino Linotype" w:hAnsi="Palatino Linotype" w:cs="Arial"/>
        </w:rPr>
        <w:t xml:space="preserve"> Administrativas que la integraran, destacando que</w:t>
      </w:r>
      <w:r w:rsidR="000A2DEF" w:rsidRPr="00DD59EA">
        <w:rPr>
          <w:rFonts w:ascii="Palatino Linotype" w:hAnsi="Palatino Linotype" w:cs="Arial"/>
        </w:rPr>
        <w:t xml:space="preserve"> la Direcci</w:t>
      </w:r>
      <w:r w:rsidR="004A463E" w:rsidRPr="00DD59EA">
        <w:rPr>
          <w:rFonts w:ascii="Palatino Linotype" w:hAnsi="Palatino Linotype" w:cs="Arial"/>
        </w:rPr>
        <w:t>ón de Administración y Finanzas</w:t>
      </w:r>
      <w:r w:rsidR="000A2DEF" w:rsidRPr="00DD59EA">
        <w:rPr>
          <w:rFonts w:ascii="Palatino Linotype" w:hAnsi="Palatino Linotype" w:cs="Arial"/>
        </w:rPr>
        <w:t xml:space="preserve"> se auxilia de los Departamentos de Recursos Humanos y Recursos Humanos y Materiales; tal y como, se aprecia enseguida:</w:t>
      </w:r>
    </w:p>
    <w:p w:rsidR="00190263" w:rsidRPr="00DD59EA" w:rsidRDefault="000A2DEF" w:rsidP="00DA47BB">
      <w:pPr>
        <w:spacing w:before="100" w:beforeAutospacing="1" w:after="100" w:afterAutospacing="1" w:line="360" w:lineRule="auto"/>
        <w:jc w:val="center"/>
        <w:rPr>
          <w:rFonts w:ascii="Palatino Linotype" w:hAnsi="Palatino Linotype" w:cs="Arial"/>
        </w:rPr>
      </w:pPr>
      <w:r w:rsidRPr="00DD59EA">
        <w:rPr>
          <w:noProof/>
          <w:lang w:eastAsia="es-MX"/>
        </w:rPr>
        <mc:AlternateContent>
          <mc:Choice Requires="wps">
            <w:drawing>
              <wp:anchor distT="0" distB="0" distL="114300" distR="114300" simplePos="0" relativeHeight="251662336" behindDoc="0" locked="0" layoutInCell="1" allowOverlap="1">
                <wp:simplePos x="0" y="0"/>
                <wp:positionH relativeFrom="column">
                  <wp:posOffset>286441</wp:posOffset>
                </wp:positionH>
                <wp:positionV relativeFrom="paragraph">
                  <wp:posOffset>2684668</wp:posOffset>
                </wp:positionV>
                <wp:extent cx="3074795" cy="592853"/>
                <wp:effectExtent l="19050" t="19050" r="11430" b="17145"/>
                <wp:wrapNone/>
                <wp:docPr id="4" name="Rectángulo 4"/>
                <wp:cNvGraphicFramePr/>
                <a:graphic xmlns:a="http://schemas.openxmlformats.org/drawingml/2006/main">
                  <a:graphicData uri="http://schemas.microsoft.com/office/word/2010/wordprocessingShape">
                    <wps:wsp>
                      <wps:cNvSpPr/>
                      <wps:spPr>
                        <a:xfrm>
                          <a:off x="0" y="0"/>
                          <a:ext cx="3074795" cy="592853"/>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8E810E" id="Rectángulo 4" o:spid="_x0000_s1026" style="position:absolute;margin-left:22.55pt;margin-top:211.4pt;width:242.1pt;height:46.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" filled="f" strokecolor="#1f4d78 [1604]" strokeweight="3pt"/>
            </w:pict>
          </mc:Fallback>
        </mc:AlternateContent>
      </w:r>
      <w:r w:rsidR="00190263" w:rsidRPr="00DD59EA">
        <w:rPr>
          <w:noProof/>
          <w:lang w:eastAsia="es-MX"/>
        </w:rPr>
        <w:drawing>
          <wp:inline distT="0" distB="0" distL="0" distR="0" wp14:anchorId="1D5AE5E3" wp14:editId="41B9B76D">
            <wp:extent cx="5407597" cy="3270739"/>
            <wp:effectExtent l="0" t="0" r="3175"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8935" t="9098" r="25658" b="20580"/>
                    <a:stretch/>
                  </pic:blipFill>
                  <pic:spPr bwMode="auto">
                    <a:xfrm>
                      <a:off x="0" y="0"/>
                      <a:ext cx="5430797" cy="3284771"/>
                    </a:xfrm>
                    <a:prstGeom prst="rect">
                      <a:avLst/>
                    </a:prstGeom>
                    <a:ln>
                      <a:noFill/>
                    </a:ln>
                    <a:extLst>
                      <a:ext uri="{53640926-AAD7-44D8-BBD7-CCE9431645EC}">
                        <a14:shadowObscured xmlns:a14="http://schemas.microsoft.com/office/drawing/2010/main"/>
                      </a:ext>
                    </a:extLst>
                  </pic:spPr>
                </pic:pic>
              </a:graphicData>
            </a:graphic>
          </wp:inline>
        </w:drawing>
      </w:r>
    </w:p>
    <w:p w:rsidR="000A2DEF" w:rsidRPr="00DD59EA" w:rsidRDefault="004A463E"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Por su parte, </w:t>
      </w:r>
      <w:r w:rsidR="000A2DEF" w:rsidRPr="00DD59EA">
        <w:rPr>
          <w:rFonts w:ascii="Palatino Linotype" w:hAnsi="Palatino Linotype" w:cs="Arial"/>
        </w:rPr>
        <w:t>el Departamento d</w:t>
      </w:r>
      <w:r w:rsidRPr="00DD59EA">
        <w:rPr>
          <w:rFonts w:ascii="Palatino Linotype" w:hAnsi="Palatino Linotype" w:cs="Arial"/>
        </w:rPr>
        <w:t>e Recursos Humanos y Materiales</w:t>
      </w:r>
      <w:r w:rsidR="000A2DEF" w:rsidRPr="00DD59EA">
        <w:rPr>
          <w:rFonts w:ascii="Palatino Linotype" w:hAnsi="Palatino Linotype" w:cs="Arial"/>
        </w:rPr>
        <w:t xml:space="preserve"> tiene como objetivo el llevar a cabo las acciones de selección, ingreso, contratación, inducción, integración, </w:t>
      </w:r>
      <w:r w:rsidR="000A2DEF" w:rsidRPr="00DD59EA">
        <w:rPr>
          <w:rFonts w:ascii="Palatino Linotype" w:hAnsi="Palatino Linotype" w:cs="Arial"/>
        </w:rPr>
        <w:lastRenderedPageBreak/>
        <w:t xml:space="preserve">registro y control, capacitación y desarrollo del personal adscrito al </w:t>
      </w:r>
      <w:r w:rsidR="000A2DEF" w:rsidRPr="00DD59EA">
        <w:rPr>
          <w:rFonts w:ascii="Palatino Linotype" w:hAnsi="Palatino Linotype" w:cs="Arial"/>
          <w:b/>
        </w:rPr>
        <w:t xml:space="preserve">SUJETO OBLIGADO; </w:t>
      </w:r>
      <w:r w:rsidR="000A2DEF" w:rsidRPr="00DD59EA">
        <w:rPr>
          <w:rFonts w:ascii="Palatino Linotype" w:hAnsi="Palatino Linotype" w:cs="Arial"/>
        </w:rPr>
        <w:t xml:space="preserve">así como, establecer los mecanismos necesarios para el pago oportuno de sus </w:t>
      </w:r>
      <w:r w:rsidR="000A2DEF" w:rsidRPr="00DD59EA">
        <w:rPr>
          <w:rFonts w:ascii="Palatino Linotype" w:hAnsi="Palatino Linotype" w:cs="Arial"/>
          <w:b/>
        </w:rPr>
        <w:t>remuneraciones</w:t>
      </w:r>
      <w:r w:rsidR="000A2DEF" w:rsidRPr="00DD59EA">
        <w:rPr>
          <w:rFonts w:ascii="Palatino Linotype" w:hAnsi="Palatino Linotype" w:cs="Arial"/>
        </w:rPr>
        <w:t xml:space="preserve">, destacando entre sus atribuciones las de </w:t>
      </w:r>
      <w:r w:rsidR="00A53C2B" w:rsidRPr="00DD59EA">
        <w:rPr>
          <w:rFonts w:ascii="Palatino Linotype" w:hAnsi="Palatino Linotype" w:cs="Arial"/>
        </w:rPr>
        <w:t xml:space="preserve">integrar y mantener actualizadas las plantillas, inventarios, </w:t>
      </w:r>
      <w:r w:rsidR="00A53C2B" w:rsidRPr="00DD59EA">
        <w:rPr>
          <w:rFonts w:ascii="Palatino Linotype" w:hAnsi="Palatino Linotype" w:cs="Arial"/>
          <w:b/>
        </w:rPr>
        <w:t>nóminas</w:t>
      </w:r>
      <w:r w:rsidR="00A53C2B" w:rsidRPr="00DD59EA">
        <w:rPr>
          <w:rFonts w:ascii="Palatino Linotype" w:hAnsi="Palatino Linotype" w:cs="Arial"/>
        </w:rPr>
        <w:t xml:space="preserve">, tabuladores y </w:t>
      </w:r>
      <w:r w:rsidR="00A53C2B" w:rsidRPr="00DD59EA">
        <w:rPr>
          <w:rFonts w:ascii="Palatino Linotype" w:hAnsi="Palatino Linotype" w:cs="Arial"/>
          <w:b/>
        </w:rPr>
        <w:t>expedientes del personal</w:t>
      </w:r>
      <w:r w:rsidR="00A53C2B" w:rsidRPr="00DD59EA">
        <w:rPr>
          <w:rFonts w:ascii="Palatino Linotype" w:hAnsi="Palatino Linotype" w:cs="Arial"/>
        </w:rPr>
        <w:t xml:space="preserve">; el registro y control de nombramientos, protestas de cargo, </w:t>
      </w:r>
      <w:r w:rsidR="00A53C2B" w:rsidRPr="00DD59EA">
        <w:rPr>
          <w:rFonts w:ascii="Palatino Linotype" w:hAnsi="Palatino Linotype" w:cs="Arial"/>
          <w:b/>
        </w:rPr>
        <w:t>ascensos</w:t>
      </w:r>
      <w:r w:rsidR="00A53C2B" w:rsidRPr="00DD59EA">
        <w:rPr>
          <w:rFonts w:ascii="Palatino Linotype" w:hAnsi="Palatino Linotype" w:cs="Arial"/>
        </w:rPr>
        <w:t xml:space="preserve">, licencias, altas, contrataciones, </w:t>
      </w:r>
      <w:r w:rsidR="00A53C2B" w:rsidRPr="00DD59EA">
        <w:rPr>
          <w:rFonts w:ascii="Palatino Linotype" w:hAnsi="Palatino Linotype" w:cs="Arial"/>
          <w:b/>
        </w:rPr>
        <w:t>bajas</w:t>
      </w:r>
      <w:r w:rsidR="00A53C2B" w:rsidRPr="00DD59EA">
        <w:rPr>
          <w:rFonts w:ascii="Palatino Linotype" w:hAnsi="Palatino Linotype" w:cs="Arial"/>
        </w:rPr>
        <w:t xml:space="preserve">, </w:t>
      </w:r>
      <w:r w:rsidR="00A53C2B" w:rsidRPr="00DD59EA">
        <w:rPr>
          <w:rFonts w:ascii="Palatino Linotype" w:hAnsi="Palatino Linotype" w:cs="Arial"/>
          <w:b/>
        </w:rPr>
        <w:t>cambios de adscripción y de plazas</w:t>
      </w:r>
      <w:r w:rsidR="00A53C2B" w:rsidRPr="00DD59EA">
        <w:rPr>
          <w:rFonts w:ascii="Palatino Linotype" w:hAnsi="Palatino Linotype" w:cs="Arial"/>
        </w:rPr>
        <w:t>; participar conjuntamente con las Unidades Administrativas responsables en la elaboración de las Condiciones Generales de Trabajo y difundirlas para resolver inconformidades del personal administrativo y docente, sirviendo de sustento a lo anterior, la imagen que inserta a continuación:</w:t>
      </w:r>
    </w:p>
    <w:p w:rsidR="00A53C2B" w:rsidRPr="00DD59EA" w:rsidRDefault="007E6FDA" w:rsidP="00DA47BB">
      <w:pPr>
        <w:spacing w:before="100" w:beforeAutospacing="1" w:after="100" w:afterAutospacing="1" w:line="360" w:lineRule="auto"/>
        <w:jc w:val="center"/>
        <w:rPr>
          <w:rFonts w:ascii="Palatino Linotype" w:hAnsi="Palatino Linotype" w:cs="Arial"/>
        </w:rPr>
      </w:pPr>
      <w:r w:rsidRPr="00DD59EA">
        <w:rPr>
          <w:noProof/>
          <w:lang w:eastAsia="es-MX"/>
        </w:rPr>
        <mc:AlternateContent>
          <mc:Choice Requires="wps">
            <w:drawing>
              <wp:anchor distT="0" distB="0" distL="114300" distR="114300" simplePos="0" relativeHeight="251679744" behindDoc="0" locked="0" layoutInCell="1" allowOverlap="1">
                <wp:simplePos x="0" y="0"/>
                <wp:positionH relativeFrom="column">
                  <wp:posOffset>167254</wp:posOffset>
                </wp:positionH>
                <wp:positionV relativeFrom="paragraph">
                  <wp:posOffset>2474278</wp:posOffset>
                </wp:positionV>
                <wp:extent cx="5586825" cy="1728375"/>
                <wp:effectExtent l="0" t="0" r="33020" b="24765"/>
                <wp:wrapNone/>
                <wp:docPr id="20" name="Conector recto 20"/>
                <wp:cNvGraphicFramePr/>
                <a:graphic xmlns:a="http://schemas.openxmlformats.org/drawingml/2006/main">
                  <a:graphicData uri="http://schemas.microsoft.com/office/word/2010/wordprocessingShape">
                    <wps:wsp>
                      <wps:cNvCnPr/>
                      <wps:spPr>
                        <a:xfrm>
                          <a:off x="0" y="0"/>
                          <a:ext cx="5586825" cy="172837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93FDDE" id="Conector recto 20"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3.15pt,194.85pt" to="453.05pt,3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" strokecolor="#5b9bd5 [3204]" strokeweight="1.5pt">
                <v:stroke joinstyle="miter"/>
              </v:line>
            </w:pict>
          </mc:Fallback>
        </mc:AlternateContent>
      </w:r>
      <w:r w:rsidR="00A53C2B" w:rsidRPr="00DD59EA">
        <w:rPr>
          <w:noProof/>
          <w:lang w:eastAsia="es-MX"/>
        </w:rPr>
        <w:drawing>
          <wp:inline distT="0" distB="0" distL="0" distR="0" wp14:anchorId="00D83917" wp14:editId="011E4D7F">
            <wp:extent cx="5555347" cy="2416628"/>
            <wp:effectExtent l="0" t="0" r="762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153" t="29158" r="9344" b="19803"/>
                    <a:stretch/>
                  </pic:blipFill>
                  <pic:spPr bwMode="auto">
                    <a:xfrm>
                      <a:off x="0" y="0"/>
                      <a:ext cx="5609395" cy="2440139"/>
                    </a:xfrm>
                    <a:prstGeom prst="rect">
                      <a:avLst/>
                    </a:prstGeom>
                    <a:ln>
                      <a:noFill/>
                    </a:ln>
                    <a:extLst>
                      <a:ext uri="{53640926-AAD7-44D8-BBD7-CCE9431645EC}">
                        <a14:shadowObscured xmlns:a14="http://schemas.microsoft.com/office/drawing/2010/main"/>
                      </a:ext>
                    </a:extLst>
                  </pic:spPr>
                </pic:pic>
              </a:graphicData>
            </a:graphic>
          </wp:inline>
        </w:drawing>
      </w:r>
    </w:p>
    <w:p w:rsidR="00A53C2B" w:rsidRPr="00DD59EA" w:rsidRDefault="00A53C2B" w:rsidP="00DA47BB">
      <w:pPr>
        <w:spacing w:before="100" w:beforeAutospacing="1" w:after="100" w:afterAutospacing="1" w:line="360" w:lineRule="auto"/>
        <w:jc w:val="center"/>
        <w:rPr>
          <w:rFonts w:ascii="Palatino Linotype" w:hAnsi="Palatino Linotype" w:cs="Arial"/>
        </w:rPr>
      </w:pPr>
      <w:r w:rsidRPr="00DD59EA">
        <w:rPr>
          <w:noProof/>
          <w:lang w:eastAsia="es-MX"/>
        </w:rPr>
        <w:lastRenderedPageBreak/>
        <w:drawing>
          <wp:inline distT="0" distB="0" distL="0" distR="0" wp14:anchorId="5680A39E" wp14:editId="532134E6">
            <wp:extent cx="5665153" cy="1953491"/>
            <wp:effectExtent l="0" t="0" r="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8101" t="11663" r="6401" b="49325"/>
                    <a:stretch/>
                  </pic:blipFill>
                  <pic:spPr bwMode="auto">
                    <a:xfrm>
                      <a:off x="0" y="0"/>
                      <a:ext cx="5732842" cy="1976832"/>
                    </a:xfrm>
                    <a:prstGeom prst="rect">
                      <a:avLst/>
                    </a:prstGeom>
                    <a:ln>
                      <a:noFill/>
                    </a:ln>
                    <a:extLst>
                      <a:ext uri="{53640926-AAD7-44D8-BBD7-CCE9431645EC}">
                        <a14:shadowObscured xmlns:a14="http://schemas.microsoft.com/office/drawing/2010/main"/>
                      </a:ext>
                    </a:extLst>
                  </pic:spPr>
                </pic:pic>
              </a:graphicData>
            </a:graphic>
          </wp:inline>
        </w:drawing>
      </w:r>
    </w:p>
    <w:p w:rsidR="00460CD7" w:rsidRPr="00DD59EA" w:rsidRDefault="00CC4448"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noProof/>
          <w:lang w:eastAsia="es-MX"/>
        </w:rPr>
        <mc:AlternateContent>
          <mc:Choice Requires="wps">
            <w:drawing>
              <wp:anchor distT="0" distB="0" distL="114300" distR="114300" simplePos="0" relativeHeight="251673600" behindDoc="0" locked="0" layoutInCell="1" allowOverlap="1">
                <wp:simplePos x="0" y="0"/>
                <wp:positionH relativeFrom="column">
                  <wp:posOffset>37967</wp:posOffset>
                </wp:positionH>
                <wp:positionV relativeFrom="paragraph">
                  <wp:posOffset>2074400</wp:posOffset>
                </wp:positionV>
                <wp:extent cx="5717263" cy="3159660"/>
                <wp:effectExtent l="0" t="0" r="36195" b="22225"/>
                <wp:wrapNone/>
                <wp:docPr id="29" name="Conector recto 29"/>
                <wp:cNvGraphicFramePr/>
                <a:graphic xmlns:a="http://schemas.openxmlformats.org/drawingml/2006/main">
                  <a:graphicData uri="http://schemas.microsoft.com/office/word/2010/wordprocessingShape">
                    <wps:wsp>
                      <wps:cNvCnPr/>
                      <wps:spPr>
                        <a:xfrm>
                          <a:off x="0" y="0"/>
                          <a:ext cx="5717263" cy="315966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2B551A" id="Conector recto 29"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pt,163.35pt" to="453.2pt,4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" strokecolor="#5b9bd5 [3204]" strokeweight="1.5pt">
                <v:stroke joinstyle="miter"/>
              </v:line>
            </w:pict>
          </mc:Fallback>
        </mc:AlternateContent>
      </w:r>
      <w:r w:rsidR="00460CD7" w:rsidRPr="00DD59EA">
        <w:rPr>
          <w:rFonts w:ascii="Palatino Linotype" w:hAnsi="Palatino Linotype" w:cs="Arial"/>
        </w:rPr>
        <w:t xml:space="preserve">De lo hasta aquí expuesto, este Órgano Garante puede advertir que existe fuente obligacional que constriñe al </w:t>
      </w:r>
      <w:r w:rsidR="00460CD7" w:rsidRPr="00DD59EA">
        <w:rPr>
          <w:rFonts w:ascii="Palatino Linotype" w:hAnsi="Palatino Linotype" w:cs="Arial"/>
          <w:b/>
        </w:rPr>
        <w:t xml:space="preserve">SUJETO OBLIGADO </w:t>
      </w:r>
      <w:r w:rsidR="00460CD7" w:rsidRPr="00DD59EA">
        <w:rPr>
          <w:rFonts w:ascii="Palatino Linotype" w:hAnsi="Palatino Linotype" w:cs="Arial"/>
        </w:rPr>
        <w:t xml:space="preserve">a contar con la información solicitada por la hoy </w:t>
      </w:r>
      <w:r w:rsidR="00460CD7" w:rsidRPr="00DD59EA">
        <w:rPr>
          <w:rFonts w:ascii="Palatino Linotype" w:hAnsi="Palatino Linotype" w:cs="Arial"/>
          <w:b/>
        </w:rPr>
        <w:t>RECURRENTE</w:t>
      </w:r>
      <w:r w:rsidR="00460CD7" w:rsidRPr="00DD59EA">
        <w:rPr>
          <w:rFonts w:ascii="Palatino Linotype" w:hAnsi="Palatino Linotype" w:cs="Arial"/>
        </w:rPr>
        <w:t>; sin embargo, no pasa desapercibido que la Servidora Pública Habilitada que dio respuesta a las solicitudes de información en estudio, fue precisamente la Jefa del Departamento de Recursos Humanos y Materiales, otorgando una respuesta carente de la deb</w:t>
      </w:r>
      <w:r w:rsidR="00964BF3" w:rsidRPr="00DD59EA">
        <w:rPr>
          <w:rFonts w:ascii="Palatino Linotype" w:hAnsi="Palatino Linotype" w:cs="Arial"/>
        </w:rPr>
        <w:t>ida fundamentación y motivación; tal y como, se aprecia enseguida:</w:t>
      </w:r>
    </w:p>
    <w:p w:rsidR="00964BF3" w:rsidRPr="00DD59EA" w:rsidRDefault="00964BF3" w:rsidP="00DA47BB">
      <w:pPr>
        <w:spacing w:before="100" w:beforeAutospacing="1" w:after="100" w:afterAutospacing="1" w:line="360" w:lineRule="auto"/>
        <w:jc w:val="center"/>
        <w:rPr>
          <w:rFonts w:ascii="Palatino Linotype" w:hAnsi="Palatino Linotype" w:cs="Arial"/>
        </w:rPr>
      </w:pPr>
      <w:r w:rsidRPr="00DD59EA">
        <w:rPr>
          <w:noProof/>
          <w:lang w:eastAsia="es-MX"/>
        </w:rPr>
        <w:lastRenderedPageBreak/>
        <mc:AlternateContent>
          <mc:Choice Requires="wps">
            <w:drawing>
              <wp:anchor distT="0" distB="0" distL="114300" distR="114300" simplePos="0" relativeHeight="251663360" behindDoc="0" locked="0" layoutInCell="1" allowOverlap="1">
                <wp:simplePos x="0" y="0"/>
                <wp:positionH relativeFrom="column">
                  <wp:posOffset>350842</wp:posOffset>
                </wp:positionH>
                <wp:positionV relativeFrom="paragraph">
                  <wp:posOffset>3327433</wp:posOffset>
                </wp:positionV>
                <wp:extent cx="5064826" cy="516412"/>
                <wp:effectExtent l="19050" t="19050" r="21590" b="17145"/>
                <wp:wrapNone/>
                <wp:docPr id="10" name="Rectángulo 10"/>
                <wp:cNvGraphicFramePr/>
                <a:graphic xmlns:a="http://schemas.openxmlformats.org/drawingml/2006/main">
                  <a:graphicData uri="http://schemas.microsoft.com/office/word/2010/wordprocessingShape">
                    <wps:wsp>
                      <wps:cNvSpPr/>
                      <wps:spPr>
                        <a:xfrm>
                          <a:off x="0" y="0"/>
                          <a:ext cx="5064826" cy="516412"/>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8F2ECA" id="Rectángulo 10" o:spid="_x0000_s1026" style="position:absolute;margin-left:27.65pt;margin-top:262pt;width:398.8pt;height:40.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" filled="f" strokecolor="#1f4d78 [1604]" strokeweight="3pt"/>
            </w:pict>
          </mc:Fallback>
        </mc:AlternateContent>
      </w:r>
      <w:r w:rsidRPr="00DD59EA">
        <w:rPr>
          <w:noProof/>
          <w:lang w:eastAsia="es-MX"/>
        </w:rPr>
        <w:drawing>
          <wp:inline distT="0" distB="0" distL="0" distR="0" wp14:anchorId="0F7B1C47" wp14:editId="76B3B695">
            <wp:extent cx="5130877" cy="387135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9120" t="13303" r="29570" b="31289"/>
                    <a:stretch/>
                  </pic:blipFill>
                  <pic:spPr bwMode="auto">
                    <a:xfrm>
                      <a:off x="0" y="0"/>
                      <a:ext cx="5149484" cy="3885395"/>
                    </a:xfrm>
                    <a:prstGeom prst="rect">
                      <a:avLst/>
                    </a:prstGeom>
                    <a:ln>
                      <a:noFill/>
                    </a:ln>
                    <a:extLst>
                      <a:ext uri="{53640926-AAD7-44D8-BBD7-CCE9431645EC}">
                        <a14:shadowObscured xmlns:a14="http://schemas.microsoft.com/office/drawing/2010/main"/>
                      </a:ext>
                    </a:extLst>
                  </pic:spPr>
                </pic:pic>
              </a:graphicData>
            </a:graphic>
          </wp:inline>
        </w:drawing>
      </w:r>
    </w:p>
    <w:p w:rsidR="00964BF3" w:rsidRPr="00DD59EA" w:rsidRDefault="00964BF3" w:rsidP="00DA47BB">
      <w:pPr>
        <w:spacing w:before="100" w:beforeAutospacing="1" w:after="100" w:afterAutospacing="1" w:line="360" w:lineRule="auto"/>
        <w:ind w:right="49"/>
        <w:jc w:val="both"/>
        <w:rPr>
          <w:rFonts w:ascii="Palatino Linotype" w:hAnsi="Palatino Linotype" w:cs="Arial"/>
        </w:rPr>
      </w:pPr>
      <w:r w:rsidRPr="00DD59EA">
        <w:rPr>
          <w:rFonts w:ascii="Palatino Linotype" w:hAnsi="Palatino Linotype" w:cs="Arial"/>
        </w:rPr>
        <w:t xml:space="preserve">Como se afirmó arriba, </w:t>
      </w:r>
      <w:r w:rsidRPr="00DD59EA">
        <w:rPr>
          <w:rFonts w:ascii="Palatino Linotype" w:hAnsi="Palatino Linotype" w:cs="Arial"/>
          <w:b/>
        </w:rPr>
        <w:t xml:space="preserve">EL SUJETO OBLIGADO </w:t>
      </w:r>
      <w:r w:rsidRPr="00DD59EA">
        <w:rPr>
          <w:rFonts w:ascii="Palatino Linotype" w:hAnsi="Palatino Linotype" w:cs="Arial"/>
        </w:rPr>
        <w:t>otorgó respuesta a las solicitudes de información de manera inadecuada, pues se advierte que</w:t>
      </w:r>
      <w:r w:rsidR="004A463E" w:rsidRPr="00DD59EA">
        <w:rPr>
          <w:rFonts w:ascii="Palatino Linotype" w:hAnsi="Palatino Linotype" w:cs="Arial"/>
        </w:rPr>
        <w:t>,</w:t>
      </w:r>
      <w:r w:rsidRPr="00DD59EA">
        <w:rPr>
          <w:rFonts w:ascii="Palatino Linotype" w:hAnsi="Palatino Linotype" w:cs="Arial"/>
        </w:rPr>
        <w:t xml:space="preserve"> pese a que hace mención del Manual General de Organización de la Universidad Politécnica del Valle de Toluca</w:t>
      </w:r>
      <w:r w:rsidR="004A463E" w:rsidRPr="00DD59EA">
        <w:rPr>
          <w:rFonts w:ascii="Palatino Linotype" w:hAnsi="Palatino Linotype" w:cs="Arial"/>
        </w:rPr>
        <w:t>,</w:t>
      </w:r>
      <w:r w:rsidRPr="00DD59EA">
        <w:rPr>
          <w:rFonts w:ascii="Palatino Linotype" w:hAnsi="Palatino Linotype" w:cs="Arial"/>
        </w:rPr>
        <w:t xml:space="preserve"> </w:t>
      </w:r>
      <w:r w:rsidR="004A463E" w:rsidRPr="00DD59EA">
        <w:rPr>
          <w:rFonts w:ascii="Palatino Linotype" w:hAnsi="Palatino Linotype" w:cs="Arial"/>
        </w:rPr>
        <w:t>no expresó</w:t>
      </w:r>
      <w:r w:rsidRPr="00DD59EA">
        <w:rPr>
          <w:rFonts w:ascii="Palatino Linotype" w:hAnsi="Palatino Linotype" w:cs="Arial"/>
        </w:rPr>
        <w:t xml:space="preserve"> el artículo</w:t>
      </w:r>
      <w:r w:rsidR="007E6FDA" w:rsidRPr="00DD59EA">
        <w:rPr>
          <w:rFonts w:ascii="Palatino Linotype" w:hAnsi="Palatino Linotype" w:cs="Arial"/>
        </w:rPr>
        <w:t xml:space="preserve"> específico</w:t>
      </w:r>
      <w:r w:rsidRPr="00DD59EA">
        <w:rPr>
          <w:rFonts w:ascii="Palatino Linotype" w:hAnsi="Palatino Linotype" w:cs="Arial"/>
        </w:rPr>
        <w:t xml:space="preserve"> en el que pueda fundar dichas respuestas y tampoco motivo las mismas;</w:t>
      </w:r>
      <w:r w:rsidR="004A463E" w:rsidRPr="00DD59EA">
        <w:rPr>
          <w:rFonts w:ascii="Palatino Linotype" w:hAnsi="Palatino Linotype" w:cs="Arial"/>
        </w:rPr>
        <w:t xml:space="preserve"> ya que, refirió haber realizado una búsqueda de la información t</w:t>
      </w:r>
      <w:r w:rsidR="007463AC" w:rsidRPr="00DD59EA">
        <w:rPr>
          <w:rFonts w:ascii="Palatino Linotype" w:hAnsi="Palatino Linotype" w:cs="Arial"/>
        </w:rPr>
        <w:t>al cual fue solicitada</w:t>
      </w:r>
      <w:r w:rsidR="00902517" w:rsidRPr="00DD59EA">
        <w:rPr>
          <w:rFonts w:ascii="Palatino Linotype" w:hAnsi="Palatino Linotype" w:cs="Arial"/>
        </w:rPr>
        <w:t>,</w:t>
      </w:r>
      <w:r w:rsidR="007463AC" w:rsidRPr="00DD59EA">
        <w:rPr>
          <w:rFonts w:ascii="Palatino Linotype" w:hAnsi="Palatino Linotype" w:cs="Arial"/>
        </w:rPr>
        <w:t xml:space="preserve"> </w:t>
      </w:r>
      <w:r w:rsidR="00123F5A" w:rsidRPr="00DD59EA">
        <w:rPr>
          <w:rFonts w:ascii="Palatino Linotype" w:hAnsi="Palatino Linotype" w:cs="Arial"/>
        </w:rPr>
        <w:t xml:space="preserve">es decir, espero encontrar la información solicitada tal cual y sin realizar dicha búsqueda </w:t>
      </w:r>
      <w:r w:rsidR="007463AC" w:rsidRPr="00DD59EA">
        <w:rPr>
          <w:rFonts w:ascii="Palatino Linotype" w:hAnsi="Palatino Linotype" w:cs="Arial"/>
        </w:rPr>
        <w:t>de las expresiones documentales en las que pudiera advertirse la misma;</w:t>
      </w:r>
      <w:r w:rsidRPr="00DD59EA">
        <w:rPr>
          <w:rFonts w:ascii="Palatino Linotype" w:hAnsi="Palatino Linotype" w:cs="Arial"/>
        </w:rPr>
        <w:t xml:space="preserve"> por ello, es necesario resaltar que dichos conceptos consiste</w:t>
      </w:r>
      <w:r w:rsidR="00CC4448" w:rsidRPr="00DD59EA">
        <w:rPr>
          <w:rFonts w:ascii="Palatino Linotype" w:hAnsi="Palatino Linotype" w:cs="Arial"/>
        </w:rPr>
        <w:t>n</w:t>
      </w:r>
      <w:r w:rsidRPr="00DD59EA">
        <w:rPr>
          <w:rFonts w:ascii="Palatino Linotype" w:hAnsi="Palatino Linotype" w:cs="Arial"/>
        </w:rPr>
        <w:t xml:space="preserve"> en la obligación que tiene todo ente público de expresar los preceptos jurídicos aplicables al asunto motivo del acto y las razones o argumentos de su actuar; al respecto, el máximo </w:t>
      </w:r>
      <w:r w:rsidRPr="00DD59EA">
        <w:rPr>
          <w:rFonts w:ascii="Palatino Linotype" w:hAnsi="Palatino Linotype" w:cs="Arial"/>
        </w:rPr>
        <w:lastRenderedPageBreak/>
        <w:t>tribunal del país ha establecido jurisprudencia a fin</w:t>
      </w:r>
      <w:r w:rsidR="00D43322" w:rsidRPr="00DD59EA">
        <w:rPr>
          <w:rFonts w:ascii="Palatino Linotype" w:hAnsi="Palatino Linotype" w:cs="Arial"/>
        </w:rPr>
        <w:t>,</w:t>
      </w:r>
      <w:r w:rsidRPr="00DD59EA">
        <w:rPr>
          <w:rFonts w:ascii="Palatino Linotype" w:hAnsi="Palatino Linotype" w:cs="Arial"/>
        </w:rPr>
        <w:t xml:space="preserve"> a que debe entenderse por fundamentación y motivación, en los siguientes términos:</w:t>
      </w:r>
    </w:p>
    <w:p w:rsidR="00964BF3" w:rsidRPr="00DD59EA" w:rsidRDefault="00964BF3" w:rsidP="00DA47BB">
      <w:pPr>
        <w:pStyle w:val="Textoindependiente2"/>
        <w:spacing w:before="120" w:line="240" w:lineRule="auto"/>
        <w:ind w:left="851" w:right="900"/>
        <w:jc w:val="both"/>
        <w:rPr>
          <w:rFonts w:ascii="Palatino Linotype" w:hAnsi="Palatino Linotype" w:cs="Arial"/>
          <w:i/>
          <w:sz w:val="22"/>
          <w:szCs w:val="22"/>
        </w:rPr>
      </w:pPr>
      <w:r w:rsidRPr="00DD59EA">
        <w:rPr>
          <w:rFonts w:ascii="Palatino Linotype" w:hAnsi="Palatino Linotype" w:cs="Arial"/>
          <w:i/>
          <w:sz w:val="22"/>
          <w:szCs w:val="22"/>
        </w:rPr>
        <w:t>“</w:t>
      </w:r>
      <w:r w:rsidR="007463AC" w:rsidRPr="00DD59EA">
        <w:rPr>
          <w:rFonts w:ascii="Palatino Linotype" w:hAnsi="Palatino Linotype" w:cs="Arial"/>
          <w:b/>
          <w:i/>
          <w:sz w:val="22"/>
          <w:szCs w:val="22"/>
        </w:rPr>
        <w:t>FUNDAMENTACIÓN Y MOTIVACIÓ</w:t>
      </w:r>
      <w:r w:rsidRPr="00DD59EA">
        <w:rPr>
          <w:rFonts w:ascii="Palatino Linotype" w:hAnsi="Palatino Linotype" w:cs="Arial"/>
          <w:b/>
          <w:i/>
          <w:sz w:val="22"/>
          <w:szCs w:val="22"/>
        </w:rPr>
        <w:t xml:space="preserve">N. </w:t>
      </w:r>
      <w:r w:rsidRPr="00DD59EA">
        <w:rPr>
          <w:rFonts w:ascii="Palatino Linotype" w:hAnsi="Palatino Linotype" w:cs="Arial"/>
          <w:i/>
          <w:sz w:val="22"/>
          <w:szCs w:val="22"/>
        </w:rPr>
        <w:t xml:space="preserve">La debida fundamentación y motivación legal, deben entenderse, por lo primero, </w:t>
      </w:r>
      <w:r w:rsidRPr="00DD59EA">
        <w:rPr>
          <w:rFonts w:ascii="Palatino Linotype" w:hAnsi="Palatino Linotype" w:cs="Arial"/>
          <w:b/>
          <w:i/>
          <w:sz w:val="22"/>
          <w:szCs w:val="22"/>
        </w:rPr>
        <w:t>la cita del precepto legal aplicable al caso</w:t>
      </w:r>
      <w:r w:rsidRPr="00DD59EA">
        <w:rPr>
          <w:rFonts w:ascii="Palatino Linotype" w:hAnsi="Palatino Linotype" w:cs="Arial"/>
          <w:i/>
          <w:sz w:val="22"/>
          <w:szCs w:val="22"/>
        </w:rPr>
        <w:t xml:space="preserve">, y por lo segundo, </w:t>
      </w:r>
      <w:r w:rsidRPr="00DD59EA">
        <w:rPr>
          <w:rFonts w:ascii="Palatino Linotype" w:hAnsi="Palatino Linotype" w:cs="Arial"/>
          <w:b/>
          <w:i/>
          <w:sz w:val="22"/>
          <w:szCs w:val="22"/>
        </w:rPr>
        <w:t>las razones, motivos o circunstancias especiales que llevaron a la autoridad a concluir que el caso particular encuadra en el supuesto previsto por la norma legal invocada</w:t>
      </w:r>
      <w:r w:rsidRPr="00DD59EA">
        <w:rPr>
          <w:rFonts w:ascii="Palatino Linotype" w:hAnsi="Palatino Linotype" w:cs="Arial"/>
          <w:i/>
          <w:sz w:val="22"/>
          <w:szCs w:val="22"/>
        </w:rPr>
        <w:t xml:space="preserve"> como fundamento.</w:t>
      </w:r>
    </w:p>
    <w:p w:rsidR="00964BF3" w:rsidRPr="00DD59EA" w:rsidRDefault="00964BF3" w:rsidP="00DA47BB">
      <w:pPr>
        <w:pStyle w:val="Textoindependiente2"/>
        <w:spacing w:before="120" w:line="240" w:lineRule="auto"/>
        <w:ind w:left="851" w:right="900"/>
        <w:jc w:val="both"/>
        <w:rPr>
          <w:rFonts w:ascii="Palatino Linotype" w:hAnsi="Palatino Linotype" w:cs="Arial"/>
          <w:b/>
          <w:i/>
          <w:sz w:val="22"/>
          <w:szCs w:val="22"/>
        </w:rPr>
      </w:pPr>
      <w:r w:rsidRPr="00DD59EA">
        <w:rPr>
          <w:rFonts w:ascii="Palatino Linotype" w:hAnsi="Palatino Linotype" w:cs="Arial"/>
          <w:b/>
          <w:i/>
          <w:sz w:val="22"/>
          <w:szCs w:val="22"/>
        </w:rPr>
        <w:t>…”</w:t>
      </w:r>
    </w:p>
    <w:p w:rsidR="00964BF3" w:rsidRPr="00DD59EA" w:rsidRDefault="00964BF3" w:rsidP="00DA47BB">
      <w:pPr>
        <w:pStyle w:val="Textoindependiente2"/>
        <w:spacing w:before="120" w:line="240" w:lineRule="auto"/>
        <w:ind w:left="851" w:right="900"/>
        <w:jc w:val="both"/>
        <w:rPr>
          <w:rFonts w:ascii="Palatino Linotype" w:hAnsi="Palatino Linotype" w:cs="Arial"/>
          <w:i/>
          <w:sz w:val="22"/>
          <w:szCs w:val="22"/>
        </w:rPr>
      </w:pPr>
      <w:r w:rsidRPr="00DD59EA">
        <w:rPr>
          <w:rFonts w:ascii="Palatino Linotype" w:hAnsi="Palatino Linotype" w:cs="Arial"/>
          <w:i/>
          <w:sz w:val="22"/>
          <w:szCs w:val="22"/>
        </w:rPr>
        <w:t>(Énfasis añadido)</w:t>
      </w:r>
    </w:p>
    <w:p w:rsidR="00964BF3" w:rsidRPr="00DD59EA" w:rsidRDefault="00964BF3" w:rsidP="00DA47BB">
      <w:pPr>
        <w:spacing w:before="240" w:after="240" w:line="360" w:lineRule="auto"/>
        <w:ind w:right="51"/>
        <w:jc w:val="both"/>
        <w:rPr>
          <w:rFonts w:ascii="Palatino Linotype" w:hAnsi="Palatino Linotype" w:cs="Arial"/>
        </w:rPr>
      </w:pPr>
      <w:r w:rsidRPr="00DD59EA">
        <w:rPr>
          <w:rFonts w:ascii="Palatino Linotype" w:hAnsi="Palatino Linotype" w:cs="Arial"/>
        </w:rPr>
        <w:t>Así, un acto de autoridad se surte la debida fundamentación cuando se cita el precepto legal aplicable al caso concreto y la debida motivación cuando se expresan las razones, motivos o circunstancias que tomó en cuenta la autoridad para adecuar el hecho a los fundamentos de derecho; lo anterior se robustece con diversa jurisprudencia dictada por el Poder Judicial de la Federación que, sostiene que la finalidad de la fundamentación o motivación es la de explicar, justificar, posibilitar la defensa y comunicar la decisión de la autoridad:</w:t>
      </w:r>
    </w:p>
    <w:p w:rsidR="00964BF3" w:rsidRPr="00DD59EA" w:rsidRDefault="00964BF3" w:rsidP="00DA47BB">
      <w:pPr>
        <w:pStyle w:val="Textoindependiente2"/>
        <w:spacing w:before="120" w:line="240" w:lineRule="auto"/>
        <w:ind w:left="851" w:right="900"/>
        <w:jc w:val="both"/>
      </w:pPr>
      <w:r w:rsidRPr="00DD59EA">
        <w:rPr>
          <w:rFonts w:ascii="Palatino Linotype" w:hAnsi="Palatino Linotype" w:cs="Arial"/>
          <w:b/>
          <w:i/>
          <w:sz w:val="22"/>
          <w:szCs w:val="22"/>
        </w:rPr>
        <w:t>“FUNDAMENTACIÓN Y MOTIVACIÓN. EL ASPECTO FORMAL DE LA GARANTÍA Y SU FINALIDAD SE TRADUCEN EN EXPLICAR, JUSTIFICAR, POSIBILITAR LA DEFENSA Y COMUNICAR LA DECISIÓN</w:t>
      </w:r>
      <w:r w:rsidRPr="00DD59EA">
        <w:rPr>
          <w:rFonts w:ascii="Palatino Linotype" w:hAnsi="Palatino Linotype" w:cs="Arial"/>
          <w:i/>
          <w:sz w:val="22"/>
          <w:szCs w:val="22"/>
        </w:rPr>
        <w:t xml:space="preserve">. El contenido formal de la garantía de legalidad prevista en el artículo 16 constitucional relativa a la fundamentación y motivación tiene como propósito primordial y ratio que el justiciable conozca </w:t>
      </w:r>
      <w:r w:rsidRPr="00DD59EA">
        <w:rPr>
          <w:rFonts w:ascii="Palatino Linotype" w:hAnsi="Palatino Linotype" w:cs="Arial"/>
          <w:b/>
          <w:i/>
          <w:sz w:val="22"/>
          <w:szCs w:val="22"/>
        </w:rPr>
        <w:t>el "para qué" de la conducta de la autoridad,</w:t>
      </w:r>
      <w:r w:rsidRPr="00DD59EA">
        <w:rPr>
          <w:rFonts w:ascii="Palatino Linotype" w:hAnsi="Palatino Linotype" w:cs="Arial"/>
          <w:i/>
          <w:sz w:val="22"/>
          <w:szCs w:val="22"/>
        </w:rPr>
        <w:t xml:space="preserve"> lo que se traduce en darle a </w:t>
      </w:r>
      <w:r w:rsidRPr="00DD59EA">
        <w:rPr>
          <w:rFonts w:ascii="Palatino Linotype" w:hAnsi="Palatino Linotype" w:cs="Arial"/>
          <w:b/>
          <w:i/>
          <w:sz w:val="22"/>
          <w:szCs w:val="22"/>
        </w:rPr>
        <w:t>conocer en detalle y de manera completa la esencia de todas las circunstancias y condiciones que determinaron el acto de voluntad</w:t>
      </w:r>
      <w:r w:rsidRPr="00DD59EA">
        <w:rPr>
          <w:rFonts w:ascii="Palatino Linotype" w:hAnsi="Palatino Linotype" w:cs="Arial"/>
          <w:i/>
          <w:sz w:val="22"/>
          <w:szCs w:val="22"/>
        </w:rPr>
        <w:t xml:space="preserve">, de manera que sea evidente y muy claro para el afectado poder cuestionar y controvertir el mérito de la decisión, permitiéndole una real y auténtica defensa. Por tanto, </w:t>
      </w:r>
      <w:r w:rsidRPr="00DD59EA">
        <w:rPr>
          <w:rFonts w:ascii="Palatino Linotype" w:hAnsi="Palatino Linotype" w:cs="Arial"/>
          <w:b/>
          <w:i/>
          <w:sz w:val="22"/>
          <w:szCs w:val="22"/>
        </w:rPr>
        <w:t xml:space="preserve">no basta que el acto de autoridad apenas observe una motivación pro forma pero de una manera incongruente, insuficiente o imprecisa, que impida la finalidad del conocimiento, comprobación y </w:t>
      </w:r>
      <w:r w:rsidRPr="00DD59EA">
        <w:rPr>
          <w:rFonts w:ascii="Palatino Linotype" w:hAnsi="Palatino Linotype" w:cs="Arial"/>
          <w:b/>
          <w:i/>
          <w:sz w:val="22"/>
          <w:szCs w:val="22"/>
        </w:rPr>
        <w:lastRenderedPageBreak/>
        <w:t>defensa pertinente</w:t>
      </w:r>
      <w:r w:rsidRPr="00DD59EA">
        <w:rPr>
          <w:rFonts w:ascii="Palatino Linotype" w:hAnsi="Palatino Linotype" w:cs="Arial"/>
          <w:i/>
          <w:sz w:val="22"/>
          <w:szCs w:val="22"/>
        </w:rPr>
        <w:t>, ni es válido exigirle una amplitud o abundancia superflua, pues es suficiente la expresión de lo estrictamente necesario para explicar, justificar y posibilitar la defensa, así como para comunicar la decisión a efecto de que se considere debidamente fundado y motivado, exponiendo los hechos relevantes para decidir, citando la norma habilitante y un argumento mínimo pero suficiente para acreditar el razonamiento del que se deduzca la relación de pertenencia lógica de los hechos al derecho invocado, que es la subsunción.”</w:t>
      </w:r>
    </w:p>
    <w:p w:rsidR="00964BF3" w:rsidRPr="00DD59EA" w:rsidRDefault="00964BF3" w:rsidP="00DA47BB">
      <w:pPr>
        <w:pStyle w:val="Textoindependiente2"/>
        <w:spacing w:before="120" w:line="240" w:lineRule="auto"/>
        <w:ind w:left="851" w:right="900"/>
        <w:jc w:val="both"/>
        <w:rPr>
          <w:rFonts w:ascii="Palatino Linotype" w:hAnsi="Palatino Linotype" w:cs="Arial"/>
          <w:i/>
          <w:sz w:val="22"/>
          <w:szCs w:val="22"/>
        </w:rPr>
      </w:pPr>
      <w:r w:rsidRPr="00DD59EA">
        <w:rPr>
          <w:rFonts w:ascii="Palatino Linotype" w:hAnsi="Palatino Linotype" w:cs="Arial"/>
          <w:i/>
          <w:sz w:val="22"/>
          <w:szCs w:val="22"/>
        </w:rPr>
        <w:t>(Énfasis añadido)</w:t>
      </w:r>
    </w:p>
    <w:p w:rsidR="00964BF3" w:rsidRPr="00DD59EA" w:rsidRDefault="00964BF3" w:rsidP="00DA47BB">
      <w:pPr>
        <w:spacing w:before="240" w:after="240" w:line="360" w:lineRule="auto"/>
        <w:ind w:right="49"/>
        <w:jc w:val="both"/>
        <w:rPr>
          <w:rFonts w:ascii="Palatino Linotype" w:hAnsi="Palatino Linotype" w:cs="Arial"/>
        </w:rPr>
      </w:pPr>
      <w:r w:rsidRPr="00DD59EA">
        <w:rPr>
          <w:rFonts w:ascii="Palatino Linotype" w:hAnsi="Palatino Linotype" w:cs="Arial"/>
        </w:rPr>
        <w:t>En consecuencia, la fundamentación y motivación implica que en el acto de autoridad, además de contener los supuestos jurídicos aplicables explique claramente, por qué, a través de la utilización de la norma se emitió el acto. De este modo, la persona que se siente afectada puede impugnar la decisión, permitiéndole una real y auténtica defensa.</w:t>
      </w:r>
    </w:p>
    <w:p w:rsidR="00964BF3" w:rsidRPr="00DD59EA" w:rsidRDefault="00964BF3" w:rsidP="00DA47BB">
      <w:pPr>
        <w:spacing w:before="240" w:after="240" w:line="360" w:lineRule="auto"/>
        <w:ind w:right="49"/>
        <w:jc w:val="both"/>
        <w:rPr>
          <w:rFonts w:ascii="Palatino Linotype" w:hAnsi="Palatino Linotype" w:cs="Arial"/>
        </w:rPr>
      </w:pPr>
      <w:r w:rsidRPr="00DD59EA">
        <w:rPr>
          <w:rFonts w:ascii="Palatino Linotype" w:hAnsi="Palatino Linotype" w:cs="Arial"/>
        </w:rPr>
        <w:t xml:space="preserve">De ahí que, personal de esta Ponencia Resolutora, realizara una inspección al portal electrónico del </w:t>
      </w:r>
      <w:r w:rsidRPr="00DD59EA">
        <w:rPr>
          <w:rFonts w:ascii="Palatino Linotype" w:hAnsi="Palatino Linotype" w:cs="Arial"/>
          <w:b/>
        </w:rPr>
        <w:t xml:space="preserve">SUJETO OBLIGADO </w:t>
      </w:r>
      <w:r w:rsidRPr="00DD59EA">
        <w:rPr>
          <w:rFonts w:ascii="Palatino Linotype" w:hAnsi="Palatino Linotype" w:cs="Arial"/>
        </w:rPr>
        <w:t>con la finalidad de determinar si el servidor público referido en la solicitud de información se encuentra adscrito a la Universidad, encontrando lo siguiente:</w:t>
      </w:r>
    </w:p>
    <w:p w:rsidR="00964BF3" w:rsidRPr="00DD59EA" w:rsidRDefault="00964BF3" w:rsidP="00DA47BB">
      <w:pPr>
        <w:spacing w:before="240" w:after="240" w:line="360" w:lineRule="auto"/>
        <w:ind w:right="49"/>
        <w:jc w:val="center"/>
        <w:rPr>
          <w:rFonts w:ascii="Palatino Linotype" w:hAnsi="Palatino Linotype" w:cs="Arial"/>
        </w:rPr>
      </w:pPr>
      <w:r w:rsidRPr="00DD59EA">
        <w:rPr>
          <w:noProof/>
          <w:lang w:eastAsia="es-MX"/>
        </w:rPr>
        <w:lastRenderedPageBreak/>
        <mc:AlternateContent>
          <mc:Choice Requires="wps">
            <w:drawing>
              <wp:anchor distT="0" distB="0" distL="114300" distR="114300" simplePos="0" relativeHeight="251665408" behindDoc="0" locked="0" layoutInCell="1" allowOverlap="1">
                <wp:simplePos x="0" y="0"/>
                <wp:positionH relativeFrom="column">
                  <wp:posOffset>3883751</wp:posOffset>
                </wp:positionH>
                <wp:positionV relativeFrom="paragraph">
                  <wp:posOffset>1982882</wp:posOffset>
                </wp:positionV>
                <wp:extent cx="1371600" cy="605642"/>
                <wp:effectExtent l="19050" t="19050" r="19050" b="23495"/>
                <wp:wrapNone/>
                <wp:docPr id="21" name="Rectángulo 21"/>
                <wp:cNvGraphicFramePr/>
                <a:graphic xmlns:a="http://schemas.openxmlformats.org/drawingml/2006/main">
                  <a:graphicData uri="http://schemas.microsoft.com/office/word/2010/wordprocessingShape">
                    <wps:wsp>
                      <wps:cNvSpPr/>
                      <wps:spPr>
                        <a:xfrm>
                          <a:off x="0" y="0"/>
                          <a:ext cx="1371600" cy="605642"/>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208DE4" id="Rectángulo 21" o:spid="_x0000_s1026" style="position:absolute;margin-left:305.8pt;margin-top:156.15pt;width:108pt;height:47.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" filled="f" strokecolor="#1f4d78 [1604]" strokeweight="2.25pt"/>
            </w:pict>
          </mc:Fallback>
        </mc:AlternateContent>
      </w:r>
      <w:r w:rsidRPr="00DD59EA">
        <w:rPr>
          <w:noProof/>
          <w:lang w:eastAsia="es-MX"/>
        </w:rPr>
        <w:drawing>
          <wp:inline distT="0" distB="0" distL="0" distR="0" wp14:anchorId="6426522B" wp14:editId="6E332E5F">
            <wp:extent cx="5507355" cy="2933205"/>
            <wp:effectExtent l="0" t="0" r="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096" t="4367" r="31999" b="24326"/>
                    <a:stretch/>
                  </pic:blipFill>
                  <pic:spPr bwMode="auto">
                    <a:xfrm>
                      <a:off x="0" y="0"/>
                      <a:ext cx="5528819" cy="2944637"/>
                    </a:xfrm>
                    <a:prstGeom prst="rect">
                      <a:avLst/>
                    </a:prstGeom>
                    <a:ln>
                      <a:noFill/>
                    </a:ln>
                    <a:extLst>
                      <a:ext uri="{53640926-AAD7-44D8-BBD7-CCE9431645EC}">
                        <a14:shadowObscured xmlns:a14="http://schemas.microsoft.com/office/drawing/2010/main"/>
                      </a:ext>
                    </a:extLst>
                  </pic:spPr>
                </pic:pic>
              </a:graphicData>
            </a:graphic>
          </wp:inline>
        </w:drawing>
      </w:r>
    </w:p>
    <w:p w:rsidR="00D43322" w:rsidRPr="00DD59EA" w:rsidRDefault="00D43322" w:rsidP="00DA47BB">
      <w:pPr>
        <w:spacing w:before="240" w:after="240" w:line="360" w:lineRule="auto"/>
        <w:ind w:right="49"/>
        <w:jc w:val="center"/>
        <w:rPr>
          <w:rFonts w:ascii="Palatino Linotype" w:hAnsi="Palatino Linotype" w:cs="Arial"/>
        </w:rPr>
      </w:pPr>
      <w:r w:rsidRPr="00DD59EA">
        <w:rPr>
          <w:noProof/>
          <w:lang w:eastAsia="es-MX"/>
        </w:rPr>
        <mc:AlternateContent>
          <mc:Choice Requires="wps">
            <w:drawing>
              <wp:anchor distT="0" distB="0" distL="114300" distR="114300" simplePos="0" relativeHeight="251674624" behindDoc="0" locked="0" layoutInCell="1" allowOverlap="1">
                <wp:simplePos x="0" y="0"/>
                <wp:positionH relativeFrom="column">
                  <wp:posOffset>2124792</wp:posOffset>
                </wp:positionH>
                <wp:positionV relativeFrom="paragraph">
                  <wp:posOffset>1907339</wp:posOffset>
                </wp:positionV>
                <wp:extent cx="2095877" cy="624689"/>
                <wp:effectExtent l="0" t="0" r="19050" b="23495"/>
                <wp:wrapNone/>
                <wp:docPr id="38" name="Rectángulo 38"/>
                <wp:cNvGraphicFramePr/>
                <a:graphic xmlns:a="http://schemas.openxmlformats.org/drawingml/2006/main">
                  <a:graphicData uri="http://schemas.microsoft.com/office/word/2010/wordprocessingShape">
                    <wps:wsp>
                      <wps:cNvSpPr/>
                      <wps:spPr>
                        <a:xfrm>
                          <a:off x="0" y="0"/>
                          <a:ext cx="2095877" cy="624689"/>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49CD7D" id="Rectángulo 38" o:spid="_x0000_s1026" style="position:absolute;margin-left:167.3pt;margin-top:150.2pt;width:165.05pt;height:49.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" filled="f" strokecolor="#1f4d78 [1604]" strokeweight="1.5pt"/>
            </w:pict>
          </mc:Fallback>
        </mc:AlternateContent>
      </w:r>
      <w:r w:rsidRPr="00DD59EA">
        <w:rPr>
          <w:noProof/>
          <w:lang w:eastAsia="es-MX"/>
        </w:rPr>
        <w:drawing>
          <wp:inline distT="0" distB="0" distL="0" distR="0" wp14:anchorId="275CE5A6" wp14:editId="5275738D">
            <wp:extent cx="3494638" cy="2724836"/>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6566" t="4030" r="37787" b="18841"/>
                    <a:stretch/>
                  </pic:blipFill>
                  <pic:spPr bwMode="auto">
                    <a:xfrm>
                      <a:off x="0" y="0"/>
                      <a:ext cx="3508090" cy="2735325"/>
                    </a:xfrm>
                    <a:prstGeom prst="rect">
                      <a:avLst/>
                    </a:prstGeom>
                    <a:ln>
                      <a:noFill/>
                    </a:ln>
                    <a:extLst>
                      <a:ext uri="{53640926-AAD7-44D8-BBD7-CCE9431645EC}">
                        <a14:shadowObscured xmlns:a14="http://schemas.microsoft.com/office/drawing/2010/main"/>
                      </a:ext>
                    </a:extLst>
                  </pic:spPr>
                </pic:pic>
              </a:graphicData>
            </a:graphic>
          </wp:inline>
        </w:drawing>
      </w:r>
    </w:p>
    <w:p w:rsidR="005E6026" w:rsidRPr="00DD59EA" w:rsidRDefault="005E6026" w:rsidP="00DA47BB">
      <w:pPr>
        <w:spacing w:before="240" w:after="240" w:line="360" w:lineRule="auto"/>
        <w:ind w:right="49"/>
        <w:jc w:val="center"/>
        <w:rPr>
          <w:rFonts w:ascii="Palatino Linotype" w:hAnsi="Palatino Linotype" w:cs="Arial"/>
        </w:rPr>
      </w:pPr>
      <w:r w:rsidRPr="00DD59EA">
        <w:rPr>
          <w:noProof/>
          <w:lang w:eastAsia="es-MX"/>
        </w:rPr>
        <w:lastRenderedPageBreak/>
        <mc:AlternateContent>
          <mc:Choice Requires="wps">
            <w:drawing>
              <wp:anchor distT="0" distB="0" distL="114300" distR="114300" simplePos="0" relativeHeight="251666432" behindDoc="0" locked="0" layoutInCell="1" allowOverlap="1">
                <wp:simplePos x="0" y="0"/>
                <wp:positionH relativeFrom="column">
                  <wp:posOffset>1294930</wp:posOffset>
                </wp:positionH>
                <wp:positionV relativeFrom="paragraph">
                  <wp:posOffset>3274274</wp:posOffset>
                </wp:positionV>
                <wp:extent cx="3111335" cy="688769"/>
                <wp:effectExtent l="19050" t="19050" r="13335" b="16510"/>
                <wp:wrapNone/>
                <wp:docPr id="23" name="Rectángulo 23"/>
                <wp:cNvGraphicFramePr/>
                <a:graphic xmlns:a="http://schemas.openxmlformats.org/drawingml/2006/main">
                  <a:graphicData uri="http://schemas.microsoft.com/office/word/2010/wordprocessingShape">
                    <wps:wsp>
                      <wps:cNvSpPr/>
                      <wps:spPr>
                        <a:xfrm>
                          <a:off x="0" y="0"/>
                          <a:ext cx="3111335" cy="688769"/>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3D5E8" id="Rectángulo 23" o:spid="_x0000_s1026" style="position:absolute;margin-left:101.95pt;margin-top:257.8pt;width:245pt;height:54.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" filled="f" strokecolor="#1f4d78 [1604]" strokeweight="3pt"/>
            </w:pict>
          </mc:Fallback>
        </mc:AlternateContent>
      </w:r>
      <w:r w:rsidRPr="00DD59EA">
        <w:rPr>
          <w:noProof/>
          <w:lang w:eastAsia="es-MX"/>
        </w:rPr>
        <w:drawing>
          <wp:inline distT="0" distB="0" distL="0" distR="0" wp14:anchorId="58BA6F97" wp14:editId="1CD014B7">
            <wp:extent cx="5452970" cy="3984172"/>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894" t="14215" r="33159" b="17618"/>
                    <a:stretch/>
                  </pic:blipFill>
                  <pic:spPr bwMode="auto">
                    <a:xfrm>
                      <a:off x="0" y="0"/>
                      <a:ext cx="5476331" cy="4001241"/>
                    </a:xfrm>
                    <a:prstGeom prst="rect">
                      <a:avLst/>
                    </a:prstGeom>
                    <a:ln>
                      <a:noFill/>
                    </a:ln>
                    <a:extLst>
                      <a:ext uri="{53640926-AAD7-44D8-BBD7-CCE9431645EC}">
                        <a14:shadowObscured xmlns:a14="http://schemas.microsoft.com/office/drawing/2010/main"/>
                      </a:ext>
                    </a:extLst>
                  </pic:spPr>
                </pic:pic>
              </a:graphicData>
            </a:graphic>
          </wp:inline>
        </w:drawing>
      </w:r>
    </w:p>
    <w:p w:rsidR="005E6026" w:rsidRPr="00DD59EA" w:rsidRDefault="00D43322" w:rsidP="00DA47BB">
      <w:pPr>
        <w:spacing w:before="240" w:after="240" w:line="360" w:lineRule="auto"/>
        <w:ind w:right="49"/>
        <w:jc w:val="both"/>
        <w:rPr>
          <w:rFonts w:ascii="Palatino Linotype" w:hAnsi="Palatino Linotype" w:cs="Arial"/>
        </w:rPr>
      </w:pPr>
      <w:r w:rsidRPr="00DD59EA">
        <w:rPr>
          <w:rFonts w:ascii="Palatino Linotype" w:hAnsi="Palatino Linotype" w:cs="Arial"/>
        </w:rPr>
        <w:t xml:space="preserve">De las imágenes que anteceden, es necesario puntualizar que </w:t>
      </w:r>
      <w:r w:rsidR="008E7597" w:rsidRPr="00DD59EA">
        <w:rPr>
          <w:rFonts w:ascii="Palatino Linotype" w:hAnsi="Palatino Linotype" w:cs="Arial"/>
          <w:b/>
        </w:rPr>
        <w:t xml:space="preserve">EL SUJETO OBLIGADO </w:t>
      </w:r>
      <w:r w:rsidR="008E7597" w:rsidRPr="00DD59EA">
        <w:rPr>
          <w:rFonts w:ascii="Palatino Linotype" w:hAnsi="Palatino Linotype" w:cs="Arial"/>
        </w:rPr>
        <w:t xml:space="preserve">realizó la última actualización al apartado de Remuneraciones en fecha 12 de febrero de 2019, a las dieciocho horas con cincuenta y un minutos, es decir, 5 días después de haber notificado a </w:t>
      </w:r>
      <w:r w:rsidR="008E7597" w:rsidRPr="00DD59EA">
        <w:rPr>
          <w:rFonts w:ascii="Palatino Linotype" w:hAnsi="Palatino Linotype" w:cs="Arial"/>
          <w:b/>
        </w:rPr>
        <w:t>LA RECURRENTE</w:t>
      </w:r>
      <w:r w:rsidR="008E7597" w:rsidRPr="00DD59EA">
        <w:rPr>
          <w:rFonts w:ascii="Palatino Linotype" w:hAnsi="Palatino Linotype" w:cs="Arial"/>
        </w:rPr>
        <w:t xml:space="preserve"> la respuesta correspondiente; sin embargo, s</w:t>
      </w:r>
      <w:r w:rsidR="005E6026" w:rsidRPr="00DD59EA">
        <w:rPr>
          <w:rFonts w:ascii="Palatino Linotype" w:hAnsi="Palatino Linotype" w:cs="Arial"/>
        </w:rPr>
        <w:t>e realizó la búsqueda del servidor público por su apellido paterno encontrando lo siguiente:</w:t>
      </w:r>
    </w:p>
    <w:p w:rsidR="005E6026" w:rsidRPr="00DD59EA" w:rsidRDefault="005E6026" w:rsidP="00DA47BB">
      <w:pPr>
        <w:spacing w:before="240" w:after="240" w:line="360" w:lineRule="auto"/>
        <w:ind w:right="49"/>
        <w:jc w:val="center"/>
        <w:rPr>
          <w:rFonts w:ascii="Palatino Linotype" w:hAnsi="Palatino Linotype" w:cs="Arial"/>
        </w:rPr>
      </w:pPr>
      <w:r w:rsidRPr="00DD59EA">
        <w:rPr>
          <w:noProof/>
          <w:lang w:eastAsia="es-MX"/>
        </w:rPr>
        <w:lastRenderedPageBreak/>
        <mc:AlternateContent>
          <mc:Choice Requires="wps">
            <w:drawing>
              <wp:anchor distT="0" distB="0" distL="114300" distR="114300" simplePos="0" relativeHeight="251667456" behindDoc="0" locked="0" layoutInCell="1" allowOverlap="1">
                <wp:simplePos x="0" y="0"/>
                <wp:positionH relativeFrom="column">
                  <wp:posOffset>802104</wp:posOffset>
                </wp:positionH>
                <wp:positionV relativeFrom="paragraph">
                  <wp:posOffset>887326</wp:posOffset>
                </wp:positionV>
                <wp:extent cx="3146961" cy="564061"/>
                <wp:effectExtent l="19050" t="19050" r="15875" b="26670"/>
                <wp:wrapNone/>
                <wp:docPr id="25" name="Rectángulo 25"/>
                <wp:cNvGraphicFramePr/>
                <a:graphic xmlns:a="http://schemas.openxmlformats.org/drawingml/2006/main">
                  <a:graphicData uri="http://schemas.microsoft.com/office/word/2010/wordprocessingShape">
                    <wps:wsp>
                      <wps:cNvSpPr/>
                      <wps:spPr>
                        <a:xfrm>
                          <a:off x="0" y="0"/>
                          <a:ext cx="3146961" cy="564061"/>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61F0B3" id="Rectángulo 25" o:spid="_x0000_s1026" style="position:absolute;margin-left:63.15pt;margin-top:69.85pt;width:247.8pt;height:4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" filled="f" strokecolor="#1f4d78 [1604]" strokeweight="3pt"/>
            </w:pict>
          </mc:Fallback>
        </mc:AlternateContent>
      </w:r>
      <w:r w:rsidRPr="00DD59EA">
        <w:rPr>
          <w:noProof/>
          <w:lang w:eastAsia="es-MX"/>
        </w:rPr>
        <w:drawing>
          <wp:inline distT="0" distB="0" distL="0" distR="0" wp14:anchorId="0CAF4DD1" wp14:editId="781E7BF0">
            <wp:extent cx="5316933" cy="1710047"/>
            <wp:effectExtent l="0" t="0" r="0" b="508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0560" t="24785" r="11322" b="40952"/>
                    <a:stretch/>
                  </pic:blipFill>
                  <pic:spPr bwMode="auto">
                    <a:xfrm>
                      <a:off x="0" y="0"/>
                      <a:ext cx="5352562" cy="1721506"/>
                    </a:xfrm>
                    <a:prstGeom prst="rect">
                      <a:avLst/>
                    </a:prstGeom>
                    <a:ln>
                      <a:noFill/>
                    </a:ln>
                    <a:extLst>
                      <a:ext uri="{53640926-AAD7-44D8-BBD7-CCE9431645EC}">
                        <a14:shadowObscured xmlns:a14="http://schemas.microsoft.com/office/drawing/2010/main"/>
                      </a:ext>
                    </a:extLst>
                  </pic:spPr>
                </pic:pic>
              </a:graphicData>
            </a:graphic>
          </wp:inline>
        </w:drawing>
      </w:r>
    </w:p>
    <w:p w:rsidR="005E6026" w:rsidRPr="00DD59EA" w:rsidRDefault="005E6026" w:rsidP="00DA47BB">
      <w:pPr>
        <w:spacing w:before="240" w:after="240" w:line="360" w:lineRule="auto"/>
        <w:ind w:right="49"/>
        <w:jc w:val="center"/>
        <w:rPr>
          <w:rFonts w:ascii="Palatino Linotype" w:hAnsi="Palatino Linotype" w:cs="Arial"/>
        </w:rPr>
      </w:pPr>
      <w:r w:rsidRPr="00DD59EA">
        <w:rPr>
          <w:noProof/>
          <w:lang w:eastAsia="es-MX"/>
        </w:rPr>
        <mc:AlternateContent>
          <mc:Choice Requires="wps">
            <w:drawing>
              <wp:anchor distT="0" distB="0" distL="114300" distR="114300" simplePos="0" relativeHeight="251668480" behindDoc="0" locked="0" layoutInCell="1" allowOverlap="1">
                <wp:simplePos x="0" y="0"/>
                <wp:positionH relativeFrom="column">
                  <wp:posOffset>232088</wp:posOffset>
                </wp:positionH>
                <wp:positionV relativeFrom="paragraph">
                  <wp:posOffset>1717560</wp:posOffset>
                </wp:positionV>
                <wp:extent cx="1894115" cy="486822"/>
                <wp:effectExtent l="19050" t="19050" r="11430" b="27940"/>
                <wp:wrapNone/>
                <wp:docPr id="27" name="Rectángulo 27"/>
                <wp:cNvGraphicFramePr/>
                <a:graphic xmlns:a="http://schemas.openxmlformats.org/drawingml/2006/main">
                  <a:graphicData uri="http://schemas.microsoft.com/office/word/2010/wordprocessingShape">
                    <wps:wsp>
                      <wps:cNvSpPr/>
                      <wps:spPr>
                        <a:xfrm>
                          <a:off x="0" y="0"/>
                          <a:ext cx="1894115" cy="486822"/>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D988A0" id="Rectángulo 27" o:spid="_x0000_s1026" style="position:absolute;margin-left:18.25pt;margin-top:135.25pt;width:149.15pt;height:38.3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" filled="f" strokecolor="#1f4d78 [1604]" strokeweight="3pt"/>
            </w:pict>
          </mc:Fallback>
        </mc:AlternateContent>
      </w:r>
      <w:r w:rsidRPr="00DD59EA">
        <w:rPr>
          <w:noProof/>
          <w:lang w:eastAsia="es-MX"/>
        </w:rPr>
        <w:drawing>
          <wp:inline distT="0" distB="0" distL="0" distR="0" wp14:anchorId="4CFA6AC1" wp14:editId="423A5004">
            <wp:extent cx="5334327" cy="3051959"/>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3125" t="11481" r="34901" b="35659"/>
                    <a:stretch/>
                  </pic:blipFill>
                  <pic:spPr bwMode="auto">
                    <a:xfrm>
                      <a:off x="0" y="0"/>
                      <a:ext cx="5353047" cy="3062669"/>
                    </a:xfrm>
                    <a:prstGeom prst="rect">
                      <a:avLst/>
                    </a:prstGeom>
                    <a:ln>
                      <a:noFill/>
                    </a:ln>
                    <a:extLst>
                      <a:ext uri="{53640926-AAD7-44D8-BBD7-CCE9431645EC}">
                        <a14:shadowObscured xmlns:a14="http://schemas.microsoft.com/office/drawing/2010/main"/>
                      </a:ext>
                    </a:extLst>
                  </pic:spPr>
                </pic:pic>
              </a:graphicData>
            </a:graphic>
          </wp:inline>
        </w:drawing>
      </w:r>
    </w:p>
    <w:p w:rsidR="00872FBE" w:rsidRPr="00DD59EA" w:rsidRDefault="00872FBE"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De modo que, de las imágenes insertas puede advertirse </w:t>
      </w:r>
      <w:r w:rsidR="005E6026" w:rsidRPr="00DD59EA">
        <w:rPr>
          <w:rFonts w:ascii="Palatino Linotype" w:hAnsi="Palatino Linotype" w:cs="Arial"/>
          <w:lang w:eastAsia="es-MX"/>
        </w:rPr>
        <w:t xml:space="preserve">que aun cuando pareciera que la respuesta del </w:t>
      </w:r>
      <w:r w:rsidR="005E6026" w:rsidRPr="00DD59EA">
        <w:rPr>
          <w:rFonts w:ascii="Palatino Linotype" w:hAnsi="Palatino Linotype" w:cs="Arial"/>
          <w:b/>
          <w:lang w:eastAsia="es-MX"/>
        </w:rPr>
        <w:t xml:space="preserve">SUJETO OBLIGADO </w:t>
      </w:r>
      <w:r w:rsidR="005E6026" w:rsidRPr="00DD59EA">
        <w:rPr>
          <w:rFonts w:ascii="Palatino Linotype" w:hAnsi="Palatino Linotype" w:cs="Arial"/>
          <w:lang w:eastAsia="es-MX"/>
        </w:rPr>
        <w:t xml:space="preserve">constituye un hecho negativo, al haber manifestado el Servidor Público Habilitado competente que no </w:t>
      </w:r>
      <w:r w:rsidRPr="00DD59EA">
        <w:rPr>
          <w:rFonts w:ascii="Palatino Linotype" w:hAnsi="Palatino Linotype" w:cs="Arial"/>
          <w:lang w:eastAsia="es-MX"/>
        </w:rPr>
        <w:t xml:space="preserve">se genera, posee o administra la información solicitada, </w:t>
      </w:r>
      <w:r w:rsidR="005E6026" w:rsidRPr="00DD59EA">
        <w:rPr>
          <w:rFonts w:ascii="Palatino Linotype" w:hAnsi="Palatino Linotype" w:cs="Arial"/>
          <w:lang w:eastAsia="es-MX"/>
        </w:rPr>
        <w:t xml:space="preserve">lo cierto es que, </w:t>
      </w:r>
      <w:r w:rsidRPr="00DD59EA">
        <w:rPr>
          <w:rFonts w:ascii="Palatino Linotype" w:hAnsi="Palatino Linotype" w:cs="Arial"/>
          <w:lang w:eastAsia="es-MX"/>
        </w:rPr>
        <w:t xml:space="preserve">al encontrarse el servidor público adscrito a la Dirección de División de Ingeniería Industrial y de Sistemas como profesor de asignatura, </w:t>
      </w:r>
      <w:r w:rsidR="008E7597" w:rsidRPr="00DD59EA">
        <w:rPr>
          <w:rFonts w:ascii="Palatino Linotype" w:hAnsi="Palatino Linotype" w:cs="Arial"/>
          <w:lang w:eastAsia="es-MX"/>
        </w:rPr>
        <w:t xml:space="preserve">se </w:t>
      </w:r>
      <w:r w:rsidRPr="00DD59EA">
        <w:rPr>
          <w:rFonts w:ascii="Palatino Linotype" w:hAnsi="Palatino Linotype" w:cs="Arial"/>
          <w:lang w:eastAsia="es-MX"/>
        </w:rPr>
        <w:t xml:space="preserve">advierte </w:t>
      </w:r>
      <w:r w:rsidR="005E6026" w:rsidRPr="00DD59EA">
        <w:rPr>
          <w:rFonts w:ascii="Palatino Linotype" w:hAnsi="Palatino Linotype" w:cs="Arial"/>
        </w:rPr>
        <w:t>existen indicios de que pudo haber</w:t>
      </w:r>
      <w:r w:rsidR="008E7597" w:rsidRPr="00DD59EA">
        <w:rPr>
          <w:rFonts w:ascii="Palatino Linotype" w:hAnsi="Palatino Linotype" w:cs="Arial"/>
        </w:rPr>
        <w:t>se</w:t>
      </w:r>
      <w:r w:rsidR="005E6026" w:rsidRPr="00DD59EA">
        <w:rPr>
          <w:rFonts w:ascii="Palatino Linotype" w:hAnsi="Palatino Linotype" w:cs="Arial"/>
        </w:rPr>
        <w:t xml:space="preserve"> generado la información de referencia; además, no acreditó haber realizado una búsqueda </w:t>
      </w:r>
      <w:r w:rsidR="005E6026" w:rsidRPr="00DD59EA">
        <w:rPr>
          <w:rFonts w:ascii="Palatino Linotype" w:hAnsi="Palatino Linotype" w:cs="Arial"/>
        </w:rPr>
        <w:lastRenderedPageBreak/>
        <w:t xml:space="preserve">exhaustiva y razonable de la información; ello, </w:t>
      </w:r>
      <w:r w:rsidRPr="00DD59EA">
        <w:rPr>
          <w:rFonts w:ascii="Palatino Linotype" w:hAnsi="Palatino Linotype" w:cs="Arial"/>
        </w:rPr>
        <w:t xml:space="preserve">a fin de dar cumplimiento a los principios que rigen el actuar de este Órgano Garante, establecidos en los artículos 4, 8 y 9, fracciones I, VII y VIII de la Ley de Transparencia y Acceso a la Información Pública del Estado de México y Municipios, mediante los cuales debe darse certeza jurídica a los particulares, privilegiarse la máxima publicidad, la objetividad y el principio </w:t>
      </w:r>
      <w:proofErr w:type="spellStart"/>
      <w:r w:rsidRPr="00DD59EA">
        <w:rPr>
          <w:rFonts w:ascii="Palatino Linotype" w:hAnsi="Palatino Linotype" w:cs="Arial"/>
          <w:i/>
        </w:rPr>
        <w:t>pro</w:t>
      </w:r>
      <w:proofErr w:type="spellEnd"/>
      <w:r w:rsidRPr="00DD59EA">
        <w:rPr>
          <w:rFonts w:ascii="Palatino Linotype" w:hAnsi="Palatino Linotype" w:cs="Arial"/>
          <w:i/>
        </w:rPr>
        <w:t xml:space="preserve"> persona</w:t>
      </w:r>
      <w:r w:rsidRPr="00DD59EA">
        <w:rPr>
          <w:rFonts w:ascii="Palatino Linotype" w:hAnsi="Palatino Linotype" w:cs="Arial"/>
        </w:rPr>
        <w:t>, sirviendo de sustento la transcripción de los preceptos legales que a la letra rezan:</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
          <w:bCs/>
          <w:i/>
          <w:sz w:val="22"/>
        </w:rPr>
        <w:t>“Artículo 4.</w:t>
      </w:r>
      <w:r w:rsidRPr="00DD59EA">
        <w:rPr>
          <w:rFonts w:ascii="Palatino Linotype" w:hAnsi="Palatino Linotype" w:cs="Arial"/>
          <w:bCs/>
          <w:i/>
          <w:sz w:val="22"/>
        </w:rPr>
        <w:t xml:space="preserve"> El derecho humano de acceso a la información pública es la prerrogativa de las personas para buscar, difundir, investigar, recabar, recibir y solicitar información pública, sin necesidad de acreditar personalidad ni interés jurídico.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
          <w:bCs/>
          <w:i/>
          <w:sz w:val="22"/>
        </w:rPr>
        <w:t xml:space="preserve">Toda la información </w:t>
      </w:r>
      <w:r w:rsidRPr="00DD59EA">
        <w:rPr>
          <w:rFonts w:ascii="Palatino Linotype" w:hAnsi="Palatino Linotype" w:cs="Arial"/>
          <w:bCs/>
          <w:i/>
          <w:sz w:val="22"/>
        </w:rPr>
        <w:t>generada,</w:t>
      </w:r>
      <w:r w:rsidRPr="00DD59EA">
        <w:rPr>
          <w:rFonts w:ascii="Palatino Linotype" w:hAnsi="Palatino Linotype" w:cs="Arial"/>
          <w:b/>
          <w:bCs/>
          <w:i/>
          <w:sz w:val="22"/>
        </w:rPr>
        <w:t xml:space="preserve"> obtenida, adquirida, transformada, administrada o en posesión de los sujetos obligados es pública y accesible de manera permanente a cualquier persona</w:t>
      </w:r>
      <w:r w:rsidRPr="00DD59EA">
        <w:rPr>
          <w:rFonts w:ascii="Palatino Linotype" w:hAnsi="Palatino Linotype" w:cs="Arial"/>
          <w:bCs/>
          <w:i/>
          <w:sz w:val="22"/>
        </w:rPr>
        <w:t xml:space="preserve">, en los términos y condiciones que se establezcan en los tratados internacionales de los que el Estado mexicano sea parte, en la Ley General, la presente Ley y demás disposiciones de la materia, </w:t>
      </w:r>
      <w:r w:rsidRPr="00DD59EA">
        <w:rPr>
          <w:rFonts w:ascii="Palatino Linotype" w:hAnsi="Palatino Linotype" w:cs="Arial"/>
          <w:b/>
          <w:bCs/>
          <w:i/>
          <w:sz w:val="22"/>
        </w:rPr>
        <w:t>privilegiando el principio de máxima publicidad</w:t>
      </w:r>
      <w:r w:rsidRPr="00DD59EA">
        <w:rPr>
          <w:rFonts w:ascii="Palatino Linotype" w:hAnsi="Palatino Linotype" w:cs="Arial"/>
          <w:bCs/>
          <w:i/>
          <w:sz w:val="22"/>
        </w:rPr>
        <w:t xml:space="preserve"> de la </w:t>
      </w:r>
      <w:r w:rsidRPr="00DD59EA">
        <w:rPr>
          <w:rFonts w:ascii="Palatino Linotype" w:hAnsi="Palatino Linotype" w:cs="Arial"/>
          <w:i/>
          <w:color w:val="000000"/>
          <w:sz w:val="22"/>
        </w:rPr>
        <w:t>información</w:t>
      </w:r>
      <w:r w:rsidRPr="00DD59EA">
        <w:rPr>
          <w:rFonts w:ascii="Palatino Linotype" w:hAnsi="Palatino Linotype" w:cs="Arial"/>
          <w:bCs/>
          <w:i/>
          <w:sz w:val="22"/>
        </w:rPr>
        <w:t xml:space="preserve">. Solo podrá ser clasificada excepcionalmente como reservada temporalmente por razones de interés público, en los términos de las causas legítimas y estrictamente necesarias previstas por esta Ley. </w:t>
      </w:r>
    </w:p>
    <w:p w:rsidR="00872FBE" w:rsidRPr="00DD59EA" w:rsidRDefault="00872FBE" w:rsidP="00DA47BB">
      <w:pPr>
        <w:ind w:left="851" w:right="902"/>
        <w:jc w:val="both"/>
        <w:rPr>
          <w:rFonts w:ascii="Palatino Linotype" w:hAnsi="Palatino Linotype" w:cs="Arial"/>
          <w:bCs/>
          <w:i/>
          <w:sz w:val="22"/>
        </w:rPr>
      </w:pP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Los sujetos obligados deben poner en práctica, políticas y programas de acceso a la información que se apeguen a criterios de publicidad, veracidad, oportunidad, precisión y suficiencia en beneficio de los solicitantes. </w:t>
      </w:r>
    </w:p>
    <w:p w:rsidR="00872FBE" w:rsidRPr="00DD59EA" w:rsidRDefault="00872FBE" w:rsidP="00DA47BB">
      <w:pPr>
        <w:ind w:left="851" w:right="902"/>
        <w:jc w:val="both"/>
        <w:rPr>
          <w:rFonts w:ascii="Palatino Linotype" w:hAnsi="Palatino Linotype" w:cs="Arial"/>
          <w:bCs/>
          <w:i/>
          <w:sz w:val="22"/>
        </w:rPr>
      </w:pPr>
    </w:p>
    <w:p w:rsidR="00872FBE" w:rsidRPr="00DD59EA" w:rsidRDefault="00872FBE" w:rsidP="00DA47BB">
      <w:pPr>
        <w:framePr w:hSpace="141" w:wrap="around" w:vAnchor="text" w:hAnchor="text" w:y="1"/>
        <w:ind w:left="851" w:right="902"/>
        <w:jc w:val="both"/>
        <w:rPr>
          <w:rFonts w:ascii="Palatino Linotype" w:hAnsi="Palatino Linotype" w:cs="Arial"/>
          <w:bCs/>
          <w:i/>
          <w:sz w:val="22"/>
        </w:rPr>
      </w:pPr>
      <w:r w:rsidRPr="00DD59EA">
        <w:rPr>
          <w:rFonts w:ascii="Palatino Linotype" w:hAnsi="Palatino Linotype" w:cs="Arial"/>
          <w:b/>
          <w:bCs/>
          <w:i/>
          <w:sz w:val="22"/>
        </w:rPr>
        <w:t>Artículo 8</w:t>
      </w:r>
      <w:r w:rsidRPr="00DD59EA">
        <w:rPr>
          <w:rFonts w:ascii="Palatino Linotype" w:hAnsi="Palatino Linotype" w:cs="Arial"/>
          <w:bCs/>
          <w:i/>
          <w:sz w:val="22"/>
        </w:rPr>
        <w:t xml:space="preserve">. </w:t>
      </w:r>
      <w:r w:rsidRPr="00DD59EA">
        <w:rPr>
          <w:rFonts w:ascii="Palatino Linotype" w:hAnsi="Palatino Linotype" w:cs="Arial"/>
          <w:b/>
          <w:bCs/>
          <w:i/>
          <w:sz w:val="22"/>
        </w:rPr>
        <w:t>El derecho de acceso a la información o la clasificación de la información</w:t>
      </w:r>
      <w:r w:rsidRPr="00DD59EA">
        <w:rPr>
          <w:rFonts w:ascii="Palatino Linotype" w:hAnsi="Palatino Linotype" w:cs="Arial"/>
          <w:bCs/>
          <w:i/>
          <w:sz w:val="22"/>
        </w:rPr>
        <w:t xml:space="preserve"> </w:t>
      </w:r>
      <w:r w:rsidRPr="00DD59EA">
        <w:rPr>
          <w:rFonts w:ascii="Palatino Linotype" w:hAnsi="Palatino Linotype" w:cs="Arial"/>
          <w:b/>
          <w:bCs/>
          <w:i/>
          <w:sz w:val="22"/>
        </w:rPr>
        <w:t>se interpretarán conforme a los principios establecidos en la Constitución Federal</w:t>
      </w:r>
      <w:r w:rsidRPr="00DD59EA">
        <w:rPr>
          <w:rFonts w:ascii="Palatino Linotype" w:hAnsi="Palatino Linotype" w:cs="Arial"/>
          <w:bCs/>
          <w:i/>
          <w:sz w:val="22"/>
        </w:rPr>
        <w:t xml:space="preserve">, los tratados internacionales de los que el Estado mexicano sea parte, </w:t>
      </w:r>
      <w:r w:rsidRPr="00DD59EA">
        <w:rPr>
          <w:rFonts w:ascii="Palatino Linotype" w:hAnsi="Palatino Linotype" w:cs="Arial"/>
          <w:b/>
          <w:bCs/>
          <w:i/>
          <w:sz w:val="22"/>
        </w:rPr>
        <w:t>la Ley General, la Constitución Local y la presente Ley</w:t>
      </w:r>
      <w:r w:rsidRPr="00DD59EA">
        <w:rPr>
          <w:rFonts w:ascii="Palatino Linotype" w:hAnsi="Palatino Linotype" w:cs="Arial"/>
          <w:bCs/>
          <w:i/>
          <w:sz w:val="22"/>
        </w:rPr>
        <w:t>.</w:t>
      </w:r>
    </w:p>
    <w:p w:rsidR="00872FBE" w:rsidRPr="00DD59EA" w:rsidRDefault="00872FBE" w:rsidP="00DA47BB">
      <w:pPr>
        <w:ind w:left="851" w:right="902"/>
        <w:jc w:val="both"/>
        <w:rPr>
          <w:rFonts w:ascii="Palatino Linotype" w:hAnsi="Palatino Linotype" w:cs="Arial"/>
          <w:b/>
          <w:bCs/>
          <w:i/>
          <w:sz w:val="22"/>
        </w:rPr>
      </w:pPr>
    </w:p>
    <w:p w:rsidR="00872FBE" w:rsidRPr="00DD59EA" w:rsidRDefault="00872FBE" w:rsidP="00DA47BB">
      <w:pPr>
        <w:ind w:left="851" w:right="902"/>
        <w:jc w:val="both"/>
        <w:rPr>
          <w:rFonts w:ascii="Palatino Linotype" w:hAnsi="Palatino Linotype" w:cs="Arial"/>
          <w:b/>
          <w:bCs/>
          <w:i/>
          <w:sz w:val="22"/>
        </w:rPr>
      </w:pPr>
      <w:r w:rsidRPr="00DD59EA">
        <w:rPr>
          <w:rFonts w:ascii="Palatino Linotype" w:hAnsi="Palatino Linotype" w:cs="Arial"/>
          <w:b/>
          <w:bCs/>
          <w:i/>
          <w:sz w:val="22"/>
        </w:rPr>
        <w:t>En la aplicación e interpretación de la presente Ley deberá prevalecer el principio de máxima publicidad</w:t>
      </w:r>
      <w:r w:rsidRPr="00DD59EA">
        <w:rPr>
          <w:rFonts w:ascii="Palatino Linotype" w:hAnsi="Palatino Linotype" w:cs="Arial"/>
          <w:bCs/>
          <w:i/>
          <w:sz w:val="22"/>
        </w:rPr>
        <w:t xml:space="preserve">, conforme a lo dispuesto en la Constitución Federal, en los tratados internacionales de los que el Estado mexicano sea parte, la Ley General, la Constitución Local, así como en las resoluciones y sentencias vinculantes que emitan los órganos nacionales e internacionales especializados, </w:t>
      </w:r>
      <w:r w:rsidRPr="00DD59EA">
        <w:rPr>
          <w:rFonts w:ascii="Palatino Linotype" w:hAnsi="Palatino Linotype" w:cs="Arial"/>
          <w:b/>
          <w:bCs/>
          <w:i/>
          <w:sz w:val="22"/>
        </w:rPr>
        <w:lastRenderedPageBreak/>
        <w:t>favoreciendo en todo tiempo a las personas la protección más amplia, atendiendo al principio pro persona…</w:t>
      </w:r>
    </w:p>
    <w:p w:rsidR="00872FBE" w:rsidRPr="00DD59EA" w:rsidRDefault="00872FBE" w:rsidP="00DA47BB">
      <w:pPr>
        <w:ind w:left="851" w:right="902"/>
        <w:jc w:val="both"/>
        <w:rPr>
          <w:rFonts w:ascii="Palatino Linotype" w:hAnsi="Palatino Linotype" w:cs="Arial"/>
          <w:bCs/>
          <w:i/>
          <w:sz w:val="22"/>
        </w:rPr>
      </w:pPr>
    </w:p>
    <w:p w:rsidR="00872FBE" w:rsidRPr="00DD59EA" w:rsidRDefault="00872FBE" w:rsidP="00DA47BB">
      <w:pPr>
        <w:ind w:left="851" w:right="902"/>
        <w:jc w:val="both"/>
        <w:rPr>
          <w:rFonts w:ascii="Palatino Linotype" w:hAnsi="Palatino Linotype" w:cs="Arial"/>
          <w:b/>
          <w:bCs/>
          <w:i/>
          <w:sz w:val="22"/>
        </w:rPr>
      </w:pPr>
      <w:r w:rsidRPr="00DD59EA">
        <w:rPr>
          <w:rFonts w:ascii="Palatino Linotype" w:hAnsi="Palatino Linotype" w:cs="Arial"/>
          <w:b/>
          <w:bCs/>
          <w:i/>
          <w:sz w:val="22"/>
        </w:rPr>
        <w:t>Artículo 9. El Instituto deberá regir su funcionamiento de acuerdo a los siguientes principios:</w:t>
      </w:r>
    </w:p>
    <w:p w:rsidR="00872FBE" w:rsidRPr="00DD59EA" w:rsidRDefault="00872FBE" w:rsidP="00DA47BB">
      <w:pPr>
        <w:ind w:left="851" w:right="902"/>
        <w:jc w:val="both"/>
        <w:rPr>
          <w:rFonts w:ascii="Palatino Linotype" w:hAnsi="Palatino Linotype" w:cs="Arial"/>
          <w:b/>
          <w:bCs/>
          <w:i/>
          <w:sz w:val="22"/>
        </w:rPr>
      </w:pPr>
    </w:p>
    <w:p w:rsidR="00872FBE" w:rsidRPr="00DD59EA" w:rsidRDefault="00872FBE" w:rsidP="00DA47BB">
      <w:pPr>
        <w:ind w:left="851" w:right="902"/>
        <w:jc w:val="both"/>
        <w:rPr>
          <w:rFonts w:ascii="Palatino Linotype" w:hAnsi="Palatino Linotype" w:cs="Arial"/>
          <w:b/>
          <w:bCs/>
          <w:i/>
          <w:sz w:val="22"/>
        </w:rPr>
      </w:pPr>
      <w:r w:rsidRPr="00DD59EA">
        <w:rPr>
          <w:rFonts w:ascii="Palatino Linotype" w:hAnsi="Palatino Linotype" w:cs="Arial"/>
          <w:b/>
          <w:bCs/>
          <w:i/>
          <w:sz w:val="22"/>
        </w:rPr>
        <w:t>I. Certeza:</w:t>
      </w:r>
      <w:r w:rsidRPr="00DD59EA">
        <w:rPr>
          <w:rFonts w:ascii="Palatino Linotype" w:hAnsi="Palatino Linotype" w:cs="Arial"/>
          <w:bCs/>
          <w:i/>
          <w:sz w:val="22"/>
        </w:rPr>
        <w:t xml:space="preserve"> Principio que otorga seguridad y certidumbre jurídica a los particulares, en virtud de que permite conocer si las acciones del Instituto son apegadas a derecho y garantiza que los procedimientos sean completamente verificables, fidedignos y confiables;</w:t>
      </w:r>
      <w:r w:rsidRPr="00DD59EA">
        <w:rPr>
          <w:rFonts w:ascii="Palatino Linotype" w:hAnsi="Palatino Linotype" w:cs="Arial"/>
          <w:b/>
          <w:bCs/>
          <w:i/>
          <w:sz w:val="22"/>
        </w:rPr>
        <w:t xml:space="preserve"> </w:t>
      </w:r>
    </w:p>
    <w:p w:rsidR="00872FBE" w:rsidRPr="00DD59EA" w:rsidRDefault="00872FBE" w:rsidP="00DA47BB">
      <w:pPr>
        <w:ind w:left="851" w:right="902"/>
        <w:jc w:val="both"/>
        <w:rPr>
          <w:rFonts w:ascii="Palatino Linotype" w:hAnsi="Palatino Linotype" w:cs="Arial"/>
          <w:b/>
          <w:bCs/>
          <w:i/>
          <w:sz w:val="22"/>
        </w:rPr>
      </w:pPr>
      <w:r w:rsidRPr="00DD59EA">
        <w:rPr>
          <w:rFonts w:ascii="Palatino Linotype" w:hAnsi="Palatino Linotype" w:cs="Arial"/>
          <w:b/>
          <w:bCs/>
          <w:i/>
          <w:sz w:val="22"/>
        </w:rPr>
        <w:t>…</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
          <w:bCs/>
          <w:i/>
          <w:sz w:val="22"/>
        </w:rPr>
        <w:t xml:space="preserve">VII. Máxima Publicidad: </w:t>
      </w:r>
      <w:r w:rsidRPr="00DD59EA">
        <w:rPr>
          <w:rFonts w:ascii="Palatino Linotype" w:hAnsi="Palatino Linotype" w:cs="Arial"/>
          <w:bCs/>
          <w:i/>
          <w:sz w:val="22"/>
        </w:rPr>
        <w:t xml:space="preserve">Toda la información en posesión de los sujetos obligados será pública, completa, oportuna y accesible, sujeta a un claro régimen de excepciones que deberán estar definidas y ser además legítimas y estrictamente necesarias en una sociedad democrática; </w:t>
      </w:r>
    </w:p>
    <w:p w:rsidR="00872FBE" w:rsidRPr="00DD59EA" w:rsidRDefault="00872FBE" w:rsidP="00DA47BB">
      <w:pPr>
        <w:ind w:left="851" w:right="902"/>
        <w:jc w:val="both"/>
        <w:rPr>
          <w:rFonts w:ascii="Palatino Linotype" w:hAnsi="Palatino Linotype" w:cs="Arial"/>
          <w:bCs/>
          <w:i/>
          <w:sz w:val="22"/>
        </w:rPr>
      </w:pP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
          <w:bCs/>
          <w:i/>
          <w:sz w:val="22"/>
        </w:rPr>
        <w:t xml:space="preserve">VIII. Objetividad: </w:t>
      </w:r>
      <w:r w:rsidRPr="00DD59EA">
        <w:rPr>
          <w:rFonts w:ascii="Palatino Linotype" w:hAnsi="Palatino Linotype" w:cs="Arial"/>
          <w:bCs/>
          <w:i/>
          <w:sz w:val="22"/>
        </w:rPr>
        <w:t xml:space="preserve">Obligación del Instituto de ajustar su actuación a los presupuestos de ley que deben ser aplicados al analizar el caso en concreto y resolver todos los hechos, prescindiendo de las consideraciones y criterios personales;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(Énfasis añadido)</w:t>
      </w:r>
    </w:p>
    <w:p w:rsidR="00872FBE" w:rsidRPr="00DD59EA" w:rsidRDefault="00872FBE" w:rsidP="00DA47BB">
      <w:pPr>
        <w:spacing w:before="100" w:beforeAutospacing="1" w:after="100" w:afterAutospacing="1" w:line="360" w:lineRule="auto"/>
        <w:jc w:val="both"/>
        <w:rPr>
          <w:rFonts w:ascii="Palatino Linotype" w:hAnsi="Palatino Linotype" w:cs="Arial"/>
        </w:rPr>
      </w:pPr>
      <w:r w:rsidRPr="00DD59EA">
        <w:rPr>
          <w:rFonts w:ascii="Palatino Linotype" w:hAnsi="Palatino Linotype"/>
        </w:rPr>
        <w:t xml:space="preserve">A fin de robustecer lo expuesto, conviene citar </w:t>
      </w:r>
      <w:r w:rsidRPr="00DD59EA">
        <w:rPr>
          <w:rFonts w:ascii="Palatino Linotype" w:hAnsi="Palatino Linotype" w:cs="Segoe UI"/>
        </w:rPr>
        <w:t xml:space="preserve">el criterio orientador </w:t>
      </w:r>
      <w:r w:rsidRPr="00DD59EA">
        <w:rPr>
          <w:rFonts w:ascii="Palatino Linotype" w:hAnsi="Palatino Linotype"/>
        </w:rPr>
        <w:t xml:space="preserve">002/2017 del Instituto Nacional de Acceso a la Información y Protección de Datos (INAI), y la </w:t>
      </w:r>
      <w:r w:rsidRPr="00DD59EA">
        <w:rPr>
          <w:rFonts w:ascii="Palatino Linotype" w:hAnsi="Palatino Linotype" w:cs="Arial"/>
        </w:rPr>
        <w:t>tesis 1a. CCCXXVII/2014 (10a.) emitida por la Primera Sala de la Suprema Corte de Justicia de la Nación, cuyo tenor es el siguiente:</w:t>
      </w:r>
    </w:p>
    <w:p w:rsidR="00872FBE" w:rsidRPr="00DD59EA" w:rsidRDefault="00872FBE" w:rsidP="00DA47BB">
      <w:pPr>
        <w:ind w:left="851" w:right="899"/>
        <w:jc w:val="both"/>
        <w:rPr>
          <w:rFonts w:ascii="Palatino Linotype" w:hAnsi="Palatino Linotype" w:cs="Arial"/>
          <w:b/>
          <w:bCs/>
          <w:i/>
          <w:sz w:val="22"/>
        </w:rPr>
      </w:pPr>
      <w:r w:rsidRPr="00DD59EA">
        <w:rPr>
          <w:rFonts w:ascii="Palatino Linotype" w:hAnsi="Palatino Linotype" w:cs="Arial"/>
          <w:b/>
          <w:bCs/>
          <w:i/>
          <w:sz w:val="22"/>
        </w:rPr>
        <w:t>“Congruencia y exhaustividad.</w:t>
      </w:r>
      <w:r w:rsidRPr="00DD59EA">
        <w:rPr>
          <w:rFonts w:ascii="Palatino Linotype" w:hAnsi="Palatino Linotype" w:cs="Arial"/>
          <w:bCs/>
          <w:i/>
          <w:sz w:val="22"/>
        </w:rPr>
        <w:t xml:space="preserve"> Sus alcances para garantizar el derecho de acceso a la información. De conformidad con el artículo 3 de la Ley Federal de Procedimiento Administrativo, de aplicación supletoria a la Ley Federal de Transparencia y Acceso a la Información Pública, en términos de su artículo 7; todo acto administrativo debe cumplir con los principios de congruencia y exhaustividad. Para el efectivo ejercicio del derecho de acceso a la información, </w:t>
      </w:r>
      <w:r w:rsidRPr="00DD59EA">
        <w:rPr>
          <w:rFonts w:ascii="Palatino Linotype" w:hAnsi="Palatino Linotype" w:cs="Arial"/>
          <w:b/>
          <w:bCs/>
          <w:i/>
          <w:sz w:val="22"/>
        </w:rPr>
        <w:t>la congruencia implica que exista concordancia entre el requerimiento formulado por el particular y la respuesta proporcionada por el sujeto obligado;</w:t>
      </w:r>
      <w:r w:rsidRPr="00DD59EA">
        <w:rPr>
          <w:rFonts w:ascii="Palatino Linotype" w:hAnsi="Palatino Linotype" w:cs="Arial"/>
          <w:bCs/>
          <w:i/>
          <w:sz w:val="22"/>
        </w:rPr>
        <w:t xml:space="preserve"> mientras que </w:t>
      </w:r>
      <w:r w:rsidRPr="00DD59EA">
        <w:rPr>
          <w:rFonts w:ascii="Palatino Linotype" w:hAnsi="Palatino Linotype" w:cs="Arial"/>
          <w:b/>
          <w:bCs/>
          <w:i/>
          <w:sz w:val="22"/>
        </w:rPr>
        <w:t xml:space="preserve">la exhaustividad significa que dicha respuesta se refiera expresamente a cada uno de los puntos solicitados. </w:t>
      </w:r>
      <w:r w:rsidRPr="00DD59EA">
        <w:rPr>
          <w:rFonts w:ascii="Palatino Linotype" w:hAnsi="Palatino Linotype" w:cs="Arial"/>
          <w:bCs/>
          <w:i/>
          <w:sz w:val="22"/>
        </w:rPr>
        <w:t xml:space="preserve">Por lo anterior, los sujetos obligados cumplirán </w:t>
      </w:r>
      <w:r w:rsidRPr="00DD59EA">
        <w:rPr>
          <w:rFonts w:ascii="Palatino Linotype" w:hAnsi="Palatino Linotype" w:cs="Arial"/>
          <w:bCs/>
          <w:i/>
          <w:sz w:val="22"/>
        </w:rPr>
        <w:lastRenderedPageBreak/>
        <w:t xml:space="preserve">con los principios de congruencia y exhaustividad, </w:t>
      </w:r>
      <w:r w:rsidRPr="00DD59EA">
        <w:rPr>
          <w:rFonts w:ascii="Palatino Linotype" w:hAnsi="Palatino Linotype" w:cs="Arial"/>
          <w:b/>
          <w:bCs/>
          <w:i/>
          <w:sz w:val="22"/>
        </w:rPr>
        <w:t>cuando las respuestas que emitan guarden una relación lógica con lo solicitado y atiendan de manera puntual y expresa, cada uno de los contenidos de información.</w:t>
      </w:r>
    </w:p>
    <w:p w:rsidR="00872FBE" w:rsidRPr="00DD59EA" w:rsidRDefault="00872FBE" w:rsidP="00DA47BB">
      <w:pPr>
        <w:ind w:left="851" w:right="899"/>
        <w:jc w:val="both"/>
        <w:rPr>
          <w:rFonts w:ascii="Palatino Linotype" w:hAnsi="Palatino Linotype" w:cs="Arial"/>
          <w:bCs/>
          <w:i/>
          <w:sz w:val="22"/>
        </w:rPr>
      </w:pPr>
    </w:p>
    <w:p w:rsidR="00872FBE" w:rsidRPr="00DD59EA" w:rsidRDefault="00872FBE" w:rsidP="00DA47BB">
      <w:pPr>
        <w:ind w:left="851" w:right="899"/>
        <w:jc w:val="both"/>
        <w:rPr>
          <w:rFonts w:ascii="Palatino Linotype" w:hAnsi="Palatino Linotype" w:cs="Arial"/>
          <w:b/>
          <w:bCs/>
          <w:i/>
          <w:sz w:val="22"/>
        </w:rPr>
      </w:pPr>
      <w:r w:rsidRPr="00DD59EA">
        <w:rPr>
          <w:rFonts w:ascii="Palatino Linotype" w:hAnsi="Palatino Linotype" w:cs="Arial"/>
          <w:bCs/>
          <w:i/>
          <w:sz w:val="22"/>
        </w:rPr>
        <w:t xml:space="preserve">Resoluciones: </w:t>
      </w:r>
      <w:r w:rsidRPr="00DD59EA">
        <w:rPr>
          <w:rFonts w:ascii="Palatino Linotype" w:hAnsi="Palatino Linotype" w:cs="Arial"/>
          <w:bCs/>
          <w:i/>
          <w:sz w:val="22"/>
        </w:rPr>
        <w:sym w:font="Symbol" w:char="F0B7"/>
      </w:r>
      <w:r w:rsidRPr="00DD59EA">
        <w:rPr>
          <w:rFonts w:ascii="Palatino Linotype" w:hAnsi="Palatino Linotype" w:cs="Arial"/>
          <w:bCs/>
          <w:i/>
          <w:sz w:val="22"/>
        </w:rPr>
        <w:t xml:space="preserve"> RRA 0003/16. Comisión Nacional de las Zonas Áridas. 29 de junio de 2016. Por unanimidad. Comisionado Ponente Oscar Mauricio Guerra Ford. </w:t>
      </w:r>
      <w:r w:rsidRPr="00DD59EA">
        <w:rPr>
          <w:rFonts w:ascii="Palatino Linotype" w:hAnsi="Palatino Linotype" w:cs="Arial"/>
          <w:bCs/>
          <w:i/>
          <w:sz w:val="22"/>
        </w:rPr>
        <w:sym w:font="Symbol" w:char="F0B7"/>
      </w:r>
      <w:r w:rsidRPr="00DD59EA">
        <w:rPr>
          <w:rFonts w:ascii="Palatino Linotype" w:hAnsi="Palatino Linotype" w:cs="Arial"/>
          <w:bCs/>
          <w:i/>
          <w:sz w:val="22"/>
        </w:rPr>
        <w:t xml:space="preserve"> RRA 0100/16. Sindicato Nacional de Trabajadores de la Educación. 13 de julio de 2016. Por unanimidad. Comisionada Ponente. Areli Cano Guadiana. </w:t>
      </w:r>
      <w:r w:rsidRPr="00DD59EA">
        <w:rPr>
          <w:rFonts w:ascii="Palatino Linotype" w:hAnsi="Palatino Linotype" w:cs="Arial"/>
          <w:bCs/>
          <w:i/>
          <w:sz w:val="22"/>
        </w:rPr>
        <w:sym w:font="Symbol" w:char="F0B7"/>
      </w:r>
      <w:r w:rsidRPr="00DD59EA">
        <w:rPr>
          <w:rFonts w:ascii="Palatino Linotype" w:hAnsi="Palatino Linotype" w:cs="Arial"/>
          <w:bCs/>
          <w:i/>
          <w:sz w:val="22"/>
        </w:rPr>
        <w:t xml:space="preserve"> RRA 1419/16. Secretaría de Educación Pública. 14 de septiembre de 2016. Por unanimidad. Comisionado Ponente </w:t>
      </w:r>
      <w:proofErr w:type="spellStart"/>
      <w:r w:rsidRPr="00DD59EA">
        <w:rPr>
          <w:rFonts w:ascii="Palatino Linotype" w:hAnsi="Palatino Linotype" w:cs="Arial"/>
          <w:bCs/>
          <w:i/>
          <w:sz w:val="22"/>
        </w:rPr>
        <w:t>Rosendoevgueni</w:t>
      </w:r>
      <w:proofErr w:type="spellEnd"/>
      <w:r w:rsidRPr="00DD59EA">
        <w:rPr>
          <w:rFonts w:ascii="Palatino Linotype" w:hAnsi="Palatino Linotype" w:cs="Arial"/>
          <w:bCs/>
          <w:i/>
          <w:sz w:val="22"/>
        </w:rPr>
        <w:t xml:space="preserve"> Monterrey </w:t>
      </w:r>
      <w:proofErr w:type="spellStart"/>
      <w:r w:rsidRPr="00DD59EA">
        <w:rPr>
          <w:rFonts w:ascii="Palatino Linotype" w:hAnsi="Palatino Linotype" w:cs="Arial"/>
          <w:bCs/>
          <w:i/>
          <w:sz w:val="22"/>
        </w:rPr>
        <w:t>Chepov</w:t>
      </w:r>
      <w:proofErr w:type="spellEnd"/>
      <w:r w:rsidRPr="00DD59EA">
        <w:rPr>
          <w:rFonts w:ascii="Palatino Linotype" w:hAnsi="Palatino Linotype" w:cs="Arial"/>
          <w:b/>
          <w:bCs/>
          <w:i/>
          <w:sz w:val="22"/>
        </w:rPr>
        <w:t>.”</w:t>
      </w:r>
    </w:p>
    <w:p w:rsidR="00872FBE" w:rsidRPr="00DD59EA" w:rsidRDefault="00872FBE" w:rsidP="00DA47BB">
      <w:pPr>
        <w:ind w:left="851" w:right="902"/>
        <w:jc w:val="both"/>
        <w:rPr>
          <w:rFonts w:ascii="Palatino Linotype" w:hAnsi="Palatino Linotype" w:cs="Arial"/>
          <w:bCs/>
          <w:i/>
          <w:sz w:val="22"/>
        </w:rPr>
      </w:pP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Época: Décima Época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Registro: 2007561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Instancia: Primera Sala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Tipo de Tesis: Aislada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Fuente: Gaceta del Semanario Judicial de la Federación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Libro 11, Octubre de 2014, Tomo I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Materia(s): Constitucional, Común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Tesis: 1a. CCCXXVII/2014 (10a.) </w:t>
      </w:r>
    </w:p>
    <w:p w:rsidR="00872FBE" w:rsidRPr="00DD59EA" w:rsidRDefault="00872FBE" w:rsidP="00DA47BB">
      <w:pPr>
        <w:ind w:left="851" w:right="902"/>
        <w:jc w:val="both"/>
        <w:rPr>
          <w:rFonts w:ascii="Palatino Linotype" w:hAnsi="Palatino Linotype" w:cs="Arial"/>
          <w:bCs/>
          <w:i/>
          <w:sz w:val="22"/>
        </w:rPr>
      </w:pPr>
      <w:r w:rsidRPr="00DD59EA">
        <w:rPr>
          <w:rFonts w:ascii="Palatino Linotype" w:hAnsi="Palatino Linotype" w:cs="Arial"/>
          <w:bCs/>
          <w:i/>
          <w:sz w:val="22"/>
        </w:rPr>
        <w:t xml:space="preserve">Página: 613 </w:t>
      </w:r>
    </w:p>
    <w:p w:rsidR="00872FBE" w:rsidRPr="00DD59EA" w:rsidRDefault="00872FBE" w:rsidP="00DA47BB">
      <w:pPr>
        <w:ind w:left="851" w:right="899"/>
        <w:jc w:val="both"/>
        <w:rPr>
          <w:rFonts w:ascii="Palatino Linotype" w:hAnsi="Palatino Linotype" w:cs="Arial"/>
          <w:b/>
          <w:bCs/>
          <w:i/>
          <w:sz w:val="22"/>
        </w:rPr>
      </w:pPr>
    </w:p>
    <w:p w:rsidR="00872FBE" w:rsidRPr="00DD59EA" w:rsidRDefault="00872FBE" w:rsidP="00DA47BB">
      <w:pPr>
        <w:ind w:left="851" w:right="899"/>
        <w:jc w:val="both"/>
        <w:rPr>
          <w:rFonts w:ascii="Palatino Linotype" w:hAnsi="Palatino Linotype" w:cs="Arial"/>
          <w:b/>
          <w:bCs/>
          <w:i/>
          <w:sz w:val="22"/>
        </w:rPr>
      </w:pPr>
      <w:r w:rsidRPr="00DD59EA">
        <w:rPr>
          <w:rFonts w:ascii="Palatino Linotype" w:hAnsi="Palatino Linotype" w:cs="Arial"/>
          <w:b/>
          <w:bCs/>
          <w:i/>
          <w:sz w:val="22"/>
        </w:rPr>
        <w:t>“PRINCIPIO PRO PERSONA. REQUISITOS MÍNIMOS PARA QUE SE ATIENDA EL FONDO DE LA SOLICITUD DE SU APLICACIÓN, O LA IMPUGNACIÓN DE SU OMISIÓN POR LA AUTORIDAD RESPONSABLE.</w:t>
      </w:r>
    </w:p>
    <w:p w:rsidR="00872FBE" w:rsidRPr="00DD59EA" w:rsidRDefault="00872FBE" w:rsidP="00DA47BB">
      <w:pPr>
        <w:ind w:left="851" w:right="899"/>
        <w:jc w:val="both"/>
        <w:rPr>
          <w:rFonts w:ascii="Palatino Linotype" w:hAnsi="Palatino Linotype" w:cs="Arial"/>
          <w:bCs/>
          <w:i/>
          <w:sz w:val="22"/>
        </w:rPr>
      </w:pPr>
      <w:r w:rsidRPr="00DD59EA">
        <w:rPr>
          <w:rFonts w:ascii="Palatino Linotype" w:hAnsi="Palatino Linotype" w:cs="Arial"/>
          <w:b/>
          <w:bCs/>
          <w:i/>
          <w:sz w:val="22"/>
        </w:rPr>
        <w:t>El artículo 1o. de la Constitución</w:t>
      </w:r>
      <w:r w:rsidRPr="00DD59EA">
        <w:rPr>
          <w:rFonts w:ascii="Palatino Linotype" w:hAnsi="Palatino Linotype" w:cs="Arial"/>
          <w:bCs/>
          <w:i/>
          <w:sz w:val="22"/>
        </w:rPr>
        <w:t xml:space="preserve"> Política de los Estados Unidos Mexicanos </w:t>
      </w:r>
      <w:r w:rsidRPr="00DD59EA">
        <w:rPr>
          <w:rFonts w:ascii="Palatino Linotype" w:hAnsi="Palatino Linotype" w:cs="Arial"/>
          <w:b/>
          <w:bCs/>
          <w:i/>
          <w:sz w:val="22"/>
        </w:rPr>
        <w:t>impone a las autoridades el deber de aplicar el principio pro persona como un criterio de interpretación de las normas relativas a derechos humanos</w:t>
      </w:r>
      <w:r w:rsidRPr="00DD59EA">
        <w:rPr>
          <w:rFonts w:ascii="Palatino Linotype" w:hAnsi="Palatino Linotype" w:cs="Arial"/>
          <w:bCs/>
          <w:i/>
          <w:sz w:val="22"/>
        </w:rPr>
        <w:t xml:space="preserve">, el cual </w:t>
      </w:r>
      <w:r w:rsidRPr="00DD59EA">
        <w:rPr>
          <w:rFonts w:ascii="Palatino Linotype" w:hAnsi="Palatino Linotype" w:cs="Arial"/>
          <w:b/>
          <w:bCs/>
          <w:i/>
          <w:sz w:val="22"/>
        </w:rPr>
        <w:t>busca maximizar</w:t>
      </w:r>
      <w:r w:rsidRPr="00DD59EA">
        <w:rPr>
          <w:rFonts w:ascii="Palatino Linotype" w:hAnsi="Palatino Linotype" w:cs="Arial"/>
          <w:bCs/>
          <w:i/>
          <w:sz w:val="22"/>
        </w:rPr>
        <w:t xml:space="preserve"> su vigencia y respeto, para optar por </w:t>
      </w:r>
      <w:r w:rsidRPr="00DD59EA">
        <w:rPr>
          <w:rFonts w:ascii="Palatino Linotype" w:hAnsi="Palatino Linotype" w:cs="Arial"/>
          <w:b/>
          <w:bCs/>
          <w:i/>
          <w:sz w:val="22"/>
        </w:rPr>
        <w:t>la aplicación o interpretación de la norma que los favorezca en mayor medida</w:t>
      </w:r>
      <w:r w:rsidRPr="00DD59EA">
        <w:rPr>
          <w:rFonts w:ascii="Palatino Linotype" w:hAnsi="Palatino Linotype" w:cs="Arial"/>
          <w:bCs/>
          <w:i/>
          <w:sz w:val="22"/>
        </w:rPr>
        <w:t xml:space="preserve">, o bien, que implique menores restricciones a su ejercicio. Así, como deber, se entiende que dicho principio </w:t>
      </w:r>
      <w:r w:rsidRPr="00DD59EA">
        <w:rPr>
          <w:rFonts w:ascii="Palatino Linotype" w:hAnsi="Palatino Linotype" w:cs="Arial"/>
          <w:b/>
          <w:bCs/>
          <w:i/>
          <w:sz w:val="22"/>
        </w:rPr>
        <w:t>es aplicable de oficio</w:t>
      </w:r>
      <w:r w:rsidRPr="00DD59EA">
        <w:rPr>
          <w:rFonts w:ascii="Palatino Linotype" w:hAnsi="Palatino Linotype" w:cs="Arial"/>
          <w:bCs/>
          <w:i/>
          <w:sz w:val="22"/>
        </w:rPr>
        <w:t xml:space="preserve">, cuando el Juez o tribunal considere necesario acudir a este criterio interpretativo para resolver los casos puestos a su consideración, pero también es factible que el quejoso en un juicio de amparo se inconforme con su falta de aplicación, o bien, solicite al órgano jurisdiccional llevar a cabo tal ejercicio interpretativo, y esta petición, para ser atendida de fondo, requiere del cumplimiento de una carga mínima; por lo que, tomando en cuenta la regla de expresar con claridad lo pedido y la causa de pedir, así como los conceptos de violación que causa el acto reclamado, es necesario que la solicitud para aplicar el principio citado o la </w:t>
      </w:r>
      <w:r w:rsidRPr="00DD59EA">
        <w:rPr>
          <w:rFonts w:ascii="Palatino Linotype" w:hAnsi="Palatino Linotype" w:cs="Arial"/>
          <w:bCs/>
          <w:i/>
          <w:sz w:val="22"/>
        </w:rPr>
        <w:lastRenderedPageBreak/>
        <w:t xml:space="preserve">impugnación de no haberse realizado por la autoridad responsable, dirigida al tribunal de amparo, reúna los siguientes requisitos mínimos: a) pedir la aplicación del principio o impugnar su falta de aplicación por la autoridad responsable; b) señalar cuál es el derecho humano o fundamental cuya maximización se pretende; c) indicar la norma cuya aplicación debe preferirse o la interpretación que resulta más favorable hacia el derecho fundamental; y, d) precisar los motivos para preferirlos en lugar de otras normas o interpretaciones posibles. En ese sentido, con el primer requisito se evita toda duda o incertidumbre sobre lo que se pretende del tribunal; el segundo obedece al objeto del principio </w:t>
      </w:r>
      <w:proofErr w:type="spellStart"/>
      <w:r w:rsidRPr="00DD59EA">
        <w:rPr>
          <w:rFonts w:ascii="Palatino Linotype" w:hAnsi="Palatino Linotype" w:cs="Arial"/>
          <w:bCs/>
          <w:i/>
          <w:sz w:val="22"/>
        </w:rPr>
        <w:t>pro</w:t>
      </w:r>
      <w:proofErr w:type="spellEnd"/>
      <w:r w:rsidRPr="00DD59EA">
        <w:rPr>
          <w:rFonts w:ascii="Palatino Linotype" w:hAnsi="Palatino Linotype" w:cs="Arial"/>
          <w:bCs/>
          <w:i/>
          <w:sz w:val="22"/>
        </w:rPr>
        <w:t xml:space="preserve"> persona, pues </w:t>
      </w:r>
      <w:r w:rsidRPr="00DD59EA">
        <w:rPr>
          <w:rFonts w:ascii="Palatino Linotype" w:hAnsi="Palatino Linotype" w:cs="Arial"/>
          <w:b/>
          <w:bCs/>
          <w:i/>
          <w:sz w:val="22"/>
        </w:rPr>
        <w:t>para realizarlo debe conocerse cuál es el derecho humano que se busca maximizar</w:t>
      </w:r>
      <w:r w:rsidRPr="00DD59EA">
        <w:rPr>
          <w:rFonts w:ascii="Palatino Linotype" w:hAnsi="Palatino Linotype" w:cs="Arial"/>
          <w:bCs/>
          <w:i/>
          <w:sz w:val="22"/>
        </w:rPr>
        <w:t>, aunado a que, como el juicio de amparo es un medio de control de constitucionalidad, es necesario que el quejoso indique cuál es la parte del parámetro de control de regularidad constitucional que está siendo afectada; finalmente, el tercero y el cuarto requisitos cumplen la función de esclarecer al tribunal cuál es la disyuntiva de elección entre dos o más normas o interpretaciones, y los motivos para estimar que la propuesta por el quejoso es de mayor protección al derecho fundamental. De ahí que con tales elementos, el órgano jurisdiccional de amparo podrá estar en condiciones de establecer si la aplicación del principio referido, propuesta por el quejoso, es viable o no en el caso particular del conocimiento.”</w:t>
      </w:r>
    </w:p>
    <w:p w:rsidR="00872FBE" w:rsidRPr="00DD59EA" w:rsidRDefault="00872FBE" w:rsidP="00DA47BB">
      <w:pPr>
        <w:ind w:left="851" w:right="899"/>
        <w:jc w:val="both"/>
        <w:rPr>
          <w:rFonts w:ascii="Palatino Linotype" w:hAnsi="Palatino Linotype" w:cs="Arial"/>
          <w:bCs/>
          <w:i/>
          <w:sz w:val="22"/>
        </w:rPr>
      </w:pPr>
    </w:p>
    <w:p w:rsidR="00872FBE" w:rsidRPr="00DD59EA" w:rsidRDefault="00872FBE" w:rsidP="00DA47BB">
      <w:pPr>
        <w:ind w:left="851" w:right="899"/>
        <w:jc w:val="both"/>
        <w:rPr>
          <w:rFonts w:ascii="Palatino Linotype" w:hAnsi="Palatino Linotype" w:cs="Arial"/>
          <w:bCs/>
          <w:i/>
          <w:sz w:val="22"/>
        </w:rPr>
      </w:pPr>
      <w:r w:rsidRPr="00DD59EA">
        <w:rPr>
          <w:rFonts w:ascii="Palatino Linotype" w:hAnsi="Palatino Linotype" w:cs="Arial"/>
          <w:bCs/>
          <w:i/>
          <w:sz w:val="22"/>
        </w:rPr>
        <w:t>(Énfasis añadido)</w:t>
      </w:r>
    </w:p>
    <w:p w:rsidR="00123F5A" w:rsidRPr="00DD59EA" w:rsidRDefault="00A60E75" w:rsidP="00DA47BB">
      <w:pPr>
        <w:spacing w:before="100" w:beforeAutospacing="1" w:after="100" w:afterAutospacing="1" w:line="360" w:lineRule="auto"/>
        <w:jc w:val="both"/>
        <w:rPr>
          <w:rFonts w:ascii="Palatino Linotype" w:hAnsi="Palatino Linotype" w:cs="Arial"/>
          <w:lang w:eastAsia="es-MX"/>
        </w:rPr>
      </w:pPr>
      <w:r w:rsidRPr="00DD59EA">
        <w:rPr>
          <w:rFonts w:ascii="Palatino Linotype" w:hAnsi="Palatino Linotype" w:cs="Arial"/>
          <w:lang w:eastAsia="es-MX"/>
        </w:rPr>
        <w:t xml:space="preserve">Bajo ese tenor, conviene </w:t>
      </w:r>
      <w:r w:rsidR="008E7597" w:rsidRPr="00DD59EA">
        <w:rPr>
          <w:rFonts w:ascii="Palatino Linotype" w:hAnsi="Palatino Linotype" w:cs="Arial"/>
          <w:lang w:eastAsia="es-MX"/>
        </w:rPr>
        <w:t>realizar el análisis de los documentos que de manera enunciativa más no limitativa pudieran colmar la</w:t>
      </w:r>
      <w:r w:rsidR="00DB5356" w:rsidRPr="00DD59EA">
        <w:rPr>
          <w:rFonts w:ascii="Palatino Linotype" w:hAnsi="Palatino Linotype" w:cs="Arial"/>
          <w:lang w:eastAsia="es-MX"/>
        </w:rPr>
        <w:t>s</w:t>
      </w:r>
      <w:r w:rsidR="008E7597" w:rsidRPr="00DD59EA">
        <w:rPr>
          <w:rFonts w:ascii="Palatino Linotype" w:hAnsi="Palatino Linotype" w:cs="Arial"/>
          <w:lang w:eastAsia="es-MX"/>
        </w:rPr>
        <w:t xml:space="preserve"> solicitud</w:t>
      </w:r>
      <w:r w:rsidR="00DB5356" w:rsidRPr="00DD59EA">
        <w:rPr>
          <w:rFonts w:ascii="Palatino Linotype" w:hAnsi="Palatino Linotype" w:cs="Arial"/>
          <w:lang w:eastAsia="es-MX"/>
        </w:rPr>
        <w:t>es</w:t>
      </w:r>
      <w:r w:rsidR="008E7597" w:rsidRPr="00DD59EA">
        <w:rPr>
          <w:rFonts w:ascii="Palatino Linotype" w:hAnsi="Palatino Linotype" w:cs="Arial"/>
          <w:lang w:eastAsia="es-MX"/>
        </w:rPr>
        <w:t xml:space="preserve"> de información identificada</w:t>
      </w:r>
      <w:r w:rsidR="00DB5356" w:rsidRPr="00DD59EA">
        <w:rPr>
          <w:rFonts w:ascii="Palatino Linotype" w:hAnsi="Palatino Linotype" w:cs="Arial"/>
          <w:lang w:eastAsia="es-MX"/>
        </w:rPr>
        <w:t>s</w:t>
      </w:r>
      <w:r w:rsidR="008E7597" w:rsidRPr="00DD59EA">
        <w:rPr>
          <w:rFonts w:ascii="Palatino Linotype" w:hAnsi="Palatino Linotype" w:cs="Arial"/>
          <w:lang w:eastAsia="es-MX"/>
        </w:rPr>
        <w:t xml:space="preserve"> en el presente estudio </w:t>
      </w:r>
      <w:r w:rsidR="00DB5356" w:rsidRPr="00DD59EA">
        <w:rPr>
          <w:rFonts w:ascii="Palatino Linotype" w:hAnsi="Palatino Linotype" w:cs="Arial"/>
          <w:lang w:eastAsia="es-MX"/>
        </w:rPr>
        <w:t xml:space="preserve">con los </w:t>
      </w:r>
      <w:r w:rsidR="008E7597" w:rsidRPr="00DD59EA">
        <w:rPr>
          <w:rFonts w:ascii="Palatino Linotype" w:hAnsi="Palatino Linotype" w:cs="Arial"/>
          <w:lang w:eastAsia="es-MX"/>
        </w:rPr>
        <w:t>inciso</w:t>
      </w:r>
      <w:r w:rsidR="00DB5356" w:rsidRPr="00DD59EA">
        <w:rPr>
          <w:rFonts w:ascii="Palatino Linotype" w:hAnsi="Palatino Linotype" w:cs="Arial"/>
          <w:lang w:eastAsia="es-MX"/>
        </w:rPr>
        <w:t xml:space="preserve">s a) y b) </w:t>
      </w:r>
      <w:r w:rsidR="008E7597" w:rsidRPr="00DD59EA">
        <w:rPr>
          <w:rFonts w:ascii="Palatino Linotype" w:hAnsi="Palatino Linotype" w:cs="Arial"/>
          <w:lang w:eastAsia="es-MX"/>
        </w:rPr>
        <w:t>consistente</w:t>
      </w:r>
      <w:r w:rsidR="00DB5356" w:rsidRPr="00DD59EA">
        <w:rPr>
          <w:rFonts w:ascii="Palatino Linotype" w:hAnsi="Palatino Linotype" w:cs="Arial"/>
          <w:lang w:eastAsia="es-MX"/>
        </w:rPr>
        <w:t>s</w:t>
      </w:r>
      <w:r w:rsidR="008E7597" w:rsidRPr="00DD59EA">
        <w:rPr>
          <w:rFonts w:ascii="Palatino Linotype" w:hAnsi="Palatino Linotype" w:cs="Arial"/>
          <w:lang w:eastAsia="es-MX"/>
        </w:rPr>
        <w:t xml:space="preserve"> en </w:t>
      </w:r>
      <w:r w:rsidR="008E7597" w:rsidRPr="00DD59EA">
        <w:rPr>
          <w:rFonts w:ascii="Palatino Linotype" w:hAnsi="Palatino Linotype" w:cs="Arial"/>
        </w:rPr>
        <w:t>el documento o documentos en donde conste o se pueda advertir las cantidades adeudadas por concepto de sueldo</w:t>
      </w:r>
      <w:r w:rsidR="00DB5356" w:rsidRPr="00DD59EA">
        <w:rPr>
          <w:rFonts w:ascii="Palatino Linotype" w:hAnsi="Palatino Linotype" w:cs="Arial"/>
        </w:rPr>
        <w:t>,</w:t>
      </w:r>
      <w:r w:rsidR="008E7597" w:rsidRPr="00DD59EA">
        <w:rPr>
          <w:rFonts w:ascii="Palatino Linotype" w:hAnsi="Palatino Linotype" w:cs="Arial"/>
        </w:rPr>
        <w:t xml:space="preserve"> </w:t>
      </w:r>
      <w:r w:rsidR="00DB5356" w:rsidRPr="00DD59EA">
        <w:rPr>
          <w:rFonts w:ascii="Palatino Linotype" w:hAnsi="Palatino Linotype" w:cs="Arial"/>
        </w:rPr>
        <w:t>al</w:t>
      </w:r>
      <w:r w:rsidR="008E7597" w:rsidRPr="00DD59EA">
        <w:rPr>
          <w:rFonts w:ascii="Palatino Linotype" w:hAnsi="Palatino Linotype" w:cs="Arial"/>
        </w:rPr>
        <w:t xml:space="preserve"> 7 de enero de 2019</w:t>
      </w:r>
      <w:r w:rsidR="00DB5356" w:rsidRPr="00DD59EA">
        <w:rPr>
          <w:rFonts w:ascii="Palatino Linotype" w:hAnsi="Palatino Linotype" w:cs="Arial"/>
        </w:rPr>
        <w:t xml:space="preserve"> y las fechas a partir de las cuales hubiera sido objeto de un aumento en dicho sueldo durante el periodo del 1 de enero al 31 de diciembre de 2018, el servidor público referido en la solicitud de origen; por lo que, en ese </w:t>
      </w:r>
      <w:r w:rsidR="00DB5356" w:rsidRPr="00DD59EA">
        <w:rPr>
          <w:rFonts w:ascii="Palatino Linotype" w:hAnsi="Palatino Linotype" w:cs="Arial"/>
          <w:lang w:eastAsia="es-MX"/>
        </w:rPr>
        <w:t xml:space="preserve">contexto, </w:t>
      </w:r>
      <w:r w:rsidRPr="00DD59EA">
        <w:rPr>
          <w:rFonts w:ascii="Palatino Linotype" w:hAnsi="Palatino Linotype" w:cs="Arial"/>
          <w:lang w:eastAsia="es-MX"/>
        </w:rPr>
        <w:t xml:space="preserve">la Ley del Trabajo de los Servidores Públicos del Estado y Municipios, </w:t>
      </w:r>
      <w:r w:rsidRPr="00DD59EA">
        <w:rPr>
          <w:rFonts w:ascii="Palatino Linotype" w:hAnsi="Palatino Linotype" w:cs="Arial"/>
          <w:lang w:eastAsia="es-MX"/>
        </w:rPr>
        <w:lastRenderedPageBreak/>
        <w:t>define como sueldo</w:t>
      </w:r>
      <w:r w:rsidR="003851E6" w:rsidRPr="00DD59EA">
        <w:rPr>
          <w:rStyle w:val="Refdenotaalpie"/>
          <w:rFonts w:ascii="Palatino Linotype" w:hAnsi="Palatino Linotype" w:cs="Arial"/>
          <w:lang w:eastAsia="es-MX"/>
        </w:rPr>
        <w:footnoteReference w:id="3"/>
      </w:r>
      <w:r w:rsidRPr="00DD59EA">
        <w:rPr>
          <w:rFonts w:ascii="Palatino Linotype" w:hAnsi="Palatino Linotype" w:cs="Arial"/>
          <w:lang w:eastAsia="es-MX"/>
        </w:rPr>
        <w:t xml:space="preserve"> a la retribución que la Institución Púbica debe pagar al servidor público por los servicios prestados</w:t>
      </w:r>
      <w:r w:rsidR="00123F5A" w:rsidRPr="00DD59EA">
        <w:rPr>
          <w:rFonts w:ascii="Palatino Linotype" w:hAnsi="Palatino Linotype" w:cs="Arial"/>
          <w:lang w:eastAsia="es-MX"/>
        </w:rPr>
        <w:t>.</w:t>
      </w:r>
    </w:p>
    <w:p w:rsidR="007463AC" w:rsidRPr="00DD59EA" w:rsidRDefault="0062493A" w:rsidP="00DA47BB">
      <w:pPr>
        <w:spacing w:before="100" w:beforeAutospacing="1" w:after="100" w:afterAutospacing="1" w:line="360" w:lineRule="auto"/>
        <w:jc w:val="both"/>
        <w:rPr>
          <w:rFonts w:ascii="Palatino Linotype" w:hAnsi="Palatino Linotype" w:cs="Arial"/>
          <w:lang w:eastAsia="es-MX"/>
        </w:rPr>
      </w:pPr>
      <w:r w:rsidRPr="00DD59EA">
        <w:rPr>
          <w:rFonts w:ascii="Palatino Linotype" w:hAnsi="Palatino Linotype" w:cs="Arial"/>
          <w:lang w:eastAsia="es-MX"/>
        </w:rPr>
        <w:t>En el mismo sentido, los servidores públicos tendrán derecho al pago de otras prestaciones; tal y como, se advierte a continuación:</w:t>
      </w:r>
    </w:p>
    <w:p w:rsidR="0062493A" w:rsidRPr="00DD59EA" w:rsidRDefault="0062493A" w:rsidP="0062493A">
      <w:pPr>
        <w:ind w:left="851" w:right="899"/>
        <w:jc w:val="both"/>
        <w:rPr>
          <w:rFonts w:ascii="Palatino Linotype" w:hAnsi="Palatino Linotype"/>
          <w:i/>
          <w:sz w:val="22"/>
          <w:szCs w:val="22"/>
        </w:rPr>
      </w:pPr>
      <w:r w:rsidRPr="00DD59EA">
        <w:rPr>
          <w:rFonts w:ascii="Palatino Linotype" w:hAnsi="Palatino Linotype"/>
          <w:b/>
          <w:i/>
          <w:sz w:val="22"/>
          <w:szCs w:val="22"/>
        </w:rPr>
        <w:t>“</w:t>
      </w:r>
      <w:r w:rsidR="003851E6" w:rsidRPr="00DD59EA">
        <w:rPr>
          <w:rFonts w:ascii="Palatino Linotype" w:hAnsi="Palatino Linotype"/>
          <w:b/>
          <w:i/>
          <w:sz w:val="22"/>
          <w:szCs w:val="22"/>
        </w:rPr>
        <w:t>ARTÍCULO 78.</w:t>
      </w:r>
      <w:r w:rsidR="003851E6" w:rsidRPr="00DD59EA">
        <w:rPr>
          <w:rFonts w:ascii="Palatino Linotype" w:hAnsi="Palatino Linotype"/>
          <w:i/>
          <w:sz w:val="22"/>
          <w:szCs w:val="22"/>
        </w:rPr>
        <w:t xml:space="preserve"> Los servidores públicos </w:t>
      </w:r>
      <w:r w:rsidR="003851E6" w:rsidRPr="00DD59EA">
        <w:rPr>
          <w:rFonts w:ascii="Palatino Linotype" w:hAnsi="Palatino Linotype"/>
          <w:b/>
          <w:i/>
          <w:sz w:val="22"/>
          <w:szCs w:val="22"/>
        </w:rPr>
        <w:t>tendrán derecho a un aguinaldo anual, equivalente a 40 días de sueldo base</w:t>
      </w:r>
      <w:r w:rsidR="003851E6" w:rsidRPr="00DD59EA">
        <w:rPr>
          <w:rFonts w:ascii="Palatino Linotype" w:hAnsi="Palatino Linotype"/>
          <w:i/>
          <w:sz w:val="22"/>
          <w:szCs w:val="22"/>
        </w:rPr>
        <w:t xml:space="preserve">, cuando menos, sin deducción alguna, y estará comprendido en el presupuesto de egresos correspondiente. </w:t>
      </w:r>
    </w:p>
    <w:p w:rsidR="0062493A" w:rsidRPr="00DD59EA" w:rsidRDefault="003851E6" w:rsidP="0062493A">
      <w:pPr>
        <w:ind w:left="851" w:right="899"/>
        <w:jc w:val="both"/>
        <w:rPr>
          <w:rFonts w:ascii="Palatino Linotype" w:hAnsi="Palatino Linotype"/>
          <w:i/>
          <w:sz w:val="22"/>
          <w:szCs w:val="22"/>
        </w:rPr>
      </w:pPr>
      <w:r w:rsidRPr="00DD59EA">
        <w:rPr>
          <w:rFonts w:ascii="Palatino Linotype" w:hAnsi="Palatino Linotype"/>
          <w:i/>
          <w:sz w:val="22"/>
          <w:szCs w:val="22"/>
        </w:rPr>
        <w:t>Dicho aguinaldo deberá pagarse en dos entregas, la primera de ellas previo al primer período vacacional y la segunda a más tardar el día 15 de diciembre.</w:t>
      </w:r>
    </w:p>
    <w:p w:rsidR="0062493A" w:rsidRPr="00DD59EA" w:rsidRDefault="0062493A" w:rsidP="0062493A">
      <w:pPr>
        <w:ind w:left="851" w:right="899"/>
        <w:jc w:val="both"/>
        <w:rPr>
          <w:rFonts w:ascii="Palatino Linotype" w:hAnsi="Palatino Linotype"/>
          <w:i/>
          <w:sz w:val="22"/>
          <w:szCs w:val="22"/>
        </w:rPr>
      </w:pPr>
    </w:p>
    <w:p w:rsidR="003851E6" w:rsidRPr="00DD59EA" w:rsidRDefault="003851E6" w:rsidP="0062493A">
      <w:pPr>
        <w:ind w:left="851" w:right="899"/>
        <w:jc w:val="both"/>
        <w:rPr>
          <w:rFonts w:ascii="Palatino Linotype" w:hAnsi="Palatino Linotype"/>
          <w:i/>
          <w:sz w:val="22"/>
          <w:szCs w:val="22"/>
        </w:rPr>
      </w:pPr>
      <w:r w:rsidRPr="00DD59EA">
        <w:rPr>
          <w:rFonts w:ascii="Palatino Linotype" w:hAnsi="Palatino Linotype"/>
          <w:i/>
          <w:sz w:val="22"/>
          <w:szCs w:val="22"/>
        </w:rPr>
        <w:t>Los servidores públicos que hayan prestado sus servicios por un lapso menor a un año, tendrán derecho a que se les pague la parte proporcional del aguinaldo de acuerdo a los días efectivamente trabajados.</w:t>
      </w:r>
    </w:p>
    <w:p w:rsidR="0062493A" w:rsidRPr="00DD59EA" w:rsidRDefault="0062493A" w:rsidP="0062493A">
      <w:pPr>
        <w:ind w:left="851" w:right="899"/>
        <w:jc w:val="both"/>
        <w:rPr>
          <w:rFonts w:ascii="Palatino Linotype" w:hAnsi="Palatino Linotype"/>
          <w:i/>
          <w:sz w:val="22"/>
          <w:szCs w:val="22"/>
        </w:rPr>
      </w:pPr>
    </w:p>
    <w:p w:rsidR="0062493A" w:rsidRPr="00DD59EA" w:rsidRDefault="0062493A" w:rsidP="0062493A">
      <w:pPr>
        <w:ind w:left="851" w:right="899"/>
        <w:jc w:val="both"/>
        <w:rPr>
          <w:rFonts w:ascii="Palatino Linotype" w:hAnsi="Palatino Linotype"/>
          <w:i/>
          <w:sz w:val="22"/>
          <w:szCs w:val="22"/>
        </w:rPr>
      </w:pPr>
      <w:r w:rsidRPr="00DD59EA">
        <w:rPr>
          <w:rFonts w:ascii="Palatino Linotype" w:hAnsi="Palatino Linotype"/>
          <w:b/>
          <w:i/>
          <w:sz w:val="22"/>
          <w:szCs w:val="22"/>
        </w:rPr>
        <w:t>ARTÍCULO 79.</w:t>
      </w:r>
      <w:r w:rsidRPr="00DD59EA">
        <w:rPr>
          <w:rFonts w:ascii="Palatino Linotype" w:hAnsi="Palatino Linotype"/>
          <w:i/>
          <w:sz w:val="22"/>
          <w:szCs w:val="22"/>
        </w:rPr>
        <w:t xml:space="preserve"> </w:t>
      </w:r>
      <w:r w:rsidRPr="00DD59EA">
        <w:rPr>
          <w:rFonts w:ascii="Palatino Linotype" w:hAnsi="Palatino Linotype"/>
          <w:b/>
          <w:i/>
          <w:sz w:val="22"/>
          <w:szCs w:val="22"/>
        </w:rPr>
        <w:t>Por cada cinco años de servicios efectivos prestados, los servidores públicos tendrán derecho al pago mensual de una prima por permanencia en el servicio,</w:t>
      </w:r>
      <w:r w:rsidRPr="00DD59EA">
        <w:rPr>
          <w:rFonts w:ascii="Palatino Linotype" w:hAnsi="Palatino Linotype"/>
          <w:i/>
          <w:sz w:val="22"/>
          <w:szCs w:val="22"/>
        </w:rPr>
        <w:t xml:space="preserve"> cuya cantidad es la comprendida en el presupuesto de egresos correspondiente y será fijada por los titulares de las instituciones públicas, con participación del sindicato, cuando exista esta representación.</w:t>
      </w:r>
    </w:p>
    <w:p w:rsidR="0062493A" w:rsidRPr="00DD59EA" w:rsidRDefault="0062493A" w:rsidP="0062493A">
      <w:pPr>
        <w:ind w:left="851" w:right="899"/>
        <w:jc w:val="both"/>
        <w:rPr>
          <w:rFonts w:ascii="Palatino Linotype" w:hAnsi="Palatino Linotype"/>
          <w:i/>
          <w:sz w:val="22"/>
          <w:szCs w:val="22"/>
        </w:rPr>
      </w:pPr>
    </w:p>
    <w:p w:rsidR="0062493A" w:rsidRPr="00DD59EA" w:rsidRDefault="0062493A" w:rsidP="0062493A">
      <w:pPr>
        <w:ind w:left="851" w:right="899"/>
        <w:jc w:val="both"/>
        <w:rPr>
          <w:rFonts w:ascii="Palatino Linotype" w:hAnsi="Palatino Linotype"/>
          <w:b/>
          <w:i/>
          <w:sz w:val="22"/>
          <w:szCs w:val="22"/>
        </w:rPr>
      </w:pPr>
      <w:r w:rsidRPr="00DD59EA">
        <w:rPr>
          <w:rFonts w:ascii="Palatino Linotype" w:hAnsi="Palatino Linotype"/>
          <w:b/>
          <w:i/>
          <w:sz w:val="22"/>
          <w:szCs w:val="22"/>
        </w:rPr>
        <w:t>ARTÍCULO 80.</w:t>
      </w:r>
      <w:r w:rsidRPr="00DD59EA">
        <w:rPr>
          <w:rFonts w:ascii="Palatino Linotype" w:hAnsi="Palatino Linotype"/>
          <w:i/>
          <w:sz w:val="22"/>
          <w:szCs w:val="22"/>
        </w:rPr>
        <w:t xml:space="preserve"> </w:t>
      </w:r>
      <w:r w:rsidRPr="00DD59EA">
        <w:rPr>
          <w:rFonts w:ascii="Palatino Linotype" w:hAnsi="Palatino Linotype"/>
          <w:b/>
          <w:i/>
          <w:sz w:val="22"/>
          <w:szCs w:val="22"/>
        </w:rPr>
        <w:t>Los servidores públicos que optaren por separarse del servicio habiendo cumplido 15 años en el mismo, tendrán derecho al pago de una prima de antigüedad consistente en el importe de 12 días de su sueldo base, por cada año de servicios prestados.</w:t>
      </w:r>
    </w:p>
    <w:p w:rsidR="0062493A" w:rsidRPr="00DD59EA" w:rsidRDefault="0062493A" w:rsidP="00647827">
      <w:pPr>
        <w:ind w:left="851" w:right="899"/>
        <w:jc w:val="both"/>
        <w:rPr>
          <w:rFonts w:ascii="Palatino Linotype" w:hAnsi="Palatino Linotype"/>
          <w:b/>
          <w:i/>
          <w:sz w:val="22"/>
          <w:szCs w:val="22"/>
        </w:rPr>
      </w:pPr>
      <w:r w:rsidRPr="00DD59EA">
        <w:rPr>
          <w:rFonts w:ascii="Palatino Linotype" w:hAnsi="Palatino Linotype"/>
          <w:b/>
          <w:i/>
          <w:sz w:val="22"/>
          <w:szCs w:val="22"/>
        </w:rPr>
        <w:t>…</w:t>
      </w:r>
      <w:r w:rsidRPr="00DD59EA">
        <w:rPr>
          <w:rFonts w:ascii="Palatino Linotype" w:hAnsi="Palatino Linotype"/>
          <w:i/>
          <w:sz w:val="22"/>
          <w:szCs w:val="22"/>
        </w:rPr>
        <w:t>”</w:t>
      </w:r>
    </w:p>
    <w:p w:rsidR="0062493A" w:rsidRPr="00DD59EA" w:rsidRDefault="0062493A" w:rsidP="0062493A">
      <w:pPr>
        <w:ind w:left="851" w:right="899"/>
        <w:jc w:val="both"/>
        <w:rPr>
          <w:rFonts w:ascii="Palatino Linotype" w:hAnsi="Palatino Linotype"/>
          <w:i/>
          <w:sz w:val="22"/>
          <w:szCs w:val="22"/>
        </w:rPr>
      </w:pPr>
      <w:r w:rsidRPr="00DD59EA">
        <w:rPr>
          <w:rFonts w:ascii="Palatino Linotype" w:hAnsi="Palatino Linotype"/>
          <w:i/>
          <w:sz w:val="22"/>
          <w:szCs w:val="22"/>
        </w:rPr>
        <w:t>(Énfasis añadido)</w:t>
      </w:r>
    </w:p>
    <w:p w:rsidR="00CE0FB2" w:rsidRPr="00DD59EA" w:rsidRDefault="0062493A" w:rsidP="00DA47BB">
      <w:pPr>
        <w:spacing w:before="100" w:beforeAutospacing="1" w:after="100" w:afterAutospacing="1" w:line="360" w:lineRule="auto"/>
        <w:jc w:val="both"/>
        <w:rPr>
          <w:rFonts w:ascii="Palatino Linotype" w:hAnsi="Palatino Linotype" w:cs="Arial"/>
          <w:lang w:eastAsia="es-MX"/>
        </w:rPr>
      </w:pPr>
      <w:r w:rsidRPr="00DD59EA">
        <w:rPr>
          <w:rFonts w:ascii="Palatino Linotype" w:hAnsi="Palatino Linotype" w:cs="Arial"/>
          <w:lang w:eastAsia="es-MX"/>
        </w:rPr>
        <w:t xml:space="preserve">En relación a lo anterior, debemos precisar que </w:t>
      </w:r>
      <w:r w:rsidRPr="00DD59EA">
        <w:rPr>
          <w:rFonts w:ascii="Palatino Linotype" w:hAnsi="Palatino Linotype" w:cs="Arial"/>
          <w:b/>
          <w:lang w:eastAsia="es-MX"/>
        </w:rPr>
        <w:t xml:space="preserve">EL SUJETO OBLIGADO </w:t>
      </w:r>
      <w:r w:rsidRPr="00DD59EA">
        <w:rPr>
          <w:rFonts w:ascii="Palatino Linotype" w:hAnsi="Palatino Linotype" w:cs="Arial"/>
          <w:lang w:eastAsia="es-MX"/>
        </w:rPr>
        <w:t>de conformidad</w:t>
      </w:r>
      <w:r w:rsidR="00CC450C" w:rsidRPr="00DD59EA">
        <w:rPr>
          <w:rFonts w:ascii="Palatino Linotype" w:hAnsi="Palatino Linotype" w:cs="Arial"/>
          <w:lang w:eastAsia="es-MX"/>
        </w:rPr>
        <w:t xml:space="preserve"> con la normativa en comento se encuentra constreñido a otorgar a los servidores públicos que laboren para </w:t>
      </w:r>
      <w:r w:rsidR="00CE0FB2" w:rsidRPr="00DD59EA">
        <w:rPr>
          <w:rFonts w:ascii="Palatino Linotype" w:hAnsi="Palatino Linotype" w:cs="Arial"/>
          <w:lang w:eastAsia="es-MX"/>
        </w:rPr>
        <w:t>él</w:t>
      </w:r>
      <w:r w:rsidR="00932FB2" w:rsidRPr="00DD59EA">
        <w:rPr>
          <w:rFonts w:ascii="Palatino Linotype" w:hAnsi="Palatino Linotype" w:cs="Arial"/>
          <w:lang w:eastAsia="es-MX"/>
        </w:rPr>
        <w:t>,</w:t>
      </w:r>
      <w:r w:rsidR="00CC450C" w:rsidRPr="00DD59EA">
        <w:rPr>
          <w:rFonts w:ascii="Palatino Linotype" w:hAnsi="Palatino Linotype" w:cs="Arial"/>
          <w:lang w:eastAsia="es-MX"/>
        </w:rPr>
        <w:t xml:space="preserve"> determinadas prestaciones por concepto de </w:t>
      </w:r>
      <w:r w:rsidR="00932FB2" w:rsidRPr="00DD59EA">
        <w:rPr>
          <w:rFonts w:ascii="Palatino Linotype" w:hAnsi="Palatino Linotype" w:cs="Arial"/>
          <w:lang w:eastAsia="es-MX"/>
        </w:rPr>
        <w:t xml:space="preserve">un trabajo </w:t>
      </w:r>
      <w:r w:rsidR="00CC450C" w:rsidRPr="00DD59EA">
        <w:rPr>
          <w:rFonts w:ascii="Palatino Linotype" w:hAnsi="Palatino Linotype" w:cs="Arial"/>
          <w:lang w:eastAsia="es-MX"/>
        </w:rPr>
        <w:t>subordinad</w:t>
      </w:r>
      <w:r w:rsidR="00932FB2" w:rsidRPr="00DD59EA">
        <w:rPr>
          <w:rFonts w:ascii="Palatino Linotype" w:hAnsi="Palatino Linotype" w:cs="Arial"/>
          <w:lang w:eastAsia="es-MX"/>
        </w:rPr>
        <w:t>o</w:t>
      </w:r>
      <w:r w:rsidR="00CE0FB2" w:rsidRPr="00DD59EA">
        <w:rPr>
          <w:rFonts w:ascii="Palatino Linotype" w:hAnsi="Palatino Linotype" w:cs="Arial"/>
          <w:lang w:eastAsia="es-MX"/>
        </w:rPr>
        <w:t xml:space="preserve">, es decir, de la relación laboral que tienen; sin embargo, </w:t>
      </w:r>
      <w:r w:rsidR="00CE0FB2" w:rsidRPr="00DD59EA">
        <w:rPr>
          <w:rFonts w:ascii="Palatino Linotype" w:hAnsi="Palatino Linotype" w:cs="Arial"/>
          <w:b/>
          <w:lang w:eastAsia="es-MX"/>
        </w:rPr>
        <w:t xml:space="preserve">para el </w:t>
      </w:r>
      <w:r w:rsidR="00CE0FB2" w:rsidRPr="00DD59EA">
        <w:rPr>
          <w:rFonts w:ascii="Palatino Linotype" w:hAnsi="Palatino Linotype" w:cs="Arial"/>
          <w:b/>
          <w:lang w:eastAsia="es-MX"/>
        </w:rPr>
        <w:lastRenderedPageBreak/>
        <w:t>caso de que está llegara a terminarse</w:t>
      </w:r>
      <w:r w:rsidR="00CE0FB2" w:rsidRPr="00DD59EA">
        <w:rPr>
          <w:rFonts w:ascii="Palatino Linotype" w:hAnsi="Palatino Linotype" w:cs="Arial"/>
          <w:lang w:eastAsia="es-MX"/>
        </w:rPr>
        <w:t xml:space="preserve">, </w:t>
      </w:r>
      <w:r w:rsidR="00CE0FB2" w:rsidRPr="00DD59EA">
        <w:rPr>
          <w:rFonts w:ascii="Palatino Linotype" w:hAnsi="Palatino Linotype" w:cs="Arial"/>
          <w:b/>
          <w:lang w:eastAsia="es-MX"/>
        </w:rPr>
        <w:t xml:space="preserve">existen otras prestaciones que deberán pagarse al servidor público, </w:t>
      </w:r>
      <w:r w:rsidR="00CE0FB2" w:rsidRPr="00DD59EA">
        <w:rPr>
          <w:rFonts w:ascii="Palatino Linotype" w:hAnsi="Palatino Linotype" w:cs="Arial"/>
          <w:lang w:eastAsia="es-MX"/>
        </w:rPr>
        <w:t>sirviendo de sustento lo siguiente:</w:t>
      </w: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b/>
          <w:i/>
          <w:sz w:val="22"/>
          <w:szCs w:val="22"/>
        </w:rPr>
        <w:t>“ARTÍCULO 96.-</w:t>
      </w:r>
      <w:r w:rsidRPr="00DD59EA">
        <w:rPr>
          <w:rFonts w:ascii="Palatino Linotype" w:hAnsi="Palatino Linotype"/>
          <w:i/>
          <w:sz w:val="22"/>
          <w:szCs w:val="22"/>
        </w:rPr>
        <w:t xml:space="preserve"> </w:t>
      </w:r>
      <w:r w:rsidRPr="00DD59EA">
        <w:rPr>
          <w:rFonts w:ascii="Palatino Linotype" w:hAnsi="Palatino Linotype"/>
          <w:b/>
          <w:i/>
          <w:sz w:val="22"/>
          <w:szCs w:val="22"/>
        </w:rPr>
        <w:t>El servidor público podrá solicitar ante el Tribunal o la Sala correspondiente, que</w:t>
      </w:r>
      <w:r w:rsidRPr="00DD59EA">
        <w:rPr>
          <w:rFonts w:ascii="Palatino Linotype" w:hAnsi="Palatino Linotype"/>
          <w:i/>
          <w:sz w:val="22"/>
          <w:szCs w:val="22"/>
        </w:rPr>
        <w:t xml:space="preserve"> se le reinstale en el trabajo que desempeñaba, o que </w:t>
      </w:r>
      <w:r w:rsidRPr="00DD59EA">
        <w:rPr>
          <w:rFonts w:ascii="Palatino Linotype" w:hAnsi="Palatino Linotype"/>
          <w:b/>
          <w:i/>
          <w:sz w:val="22"/>
          <w:szCs w:val="22"/>
        </w:rPr>
        <w:t>se le indemnice.</w:t>
      </w:r>
      <w:r w:rsidRPr="00DD59EA">
        <w:rPr>
          <w:rFonts w:ascii="Palatino Linotype" w:hAnsi="Palatino Linotype"/>
          <w:i/>
          <w:sz w:val="22"/>
          <w:szCs w:val="22"/>
        </w:rPr>
        <w:t xml:space="preserve"> Cuando el servidor público considere injustificada la causa de rescisión de la relación laboral, o bien </w:t>
      </w:r>
      <w:r w:rsidRPr="00DD59EA">
        <w:rPr>
          <w:rFonts w:ascii="Palatino Linotype" w:hAnsi="Palatino Linotype"/>
          <w:b/>
          <w:i/>
          <w:sz w:val="22"/>
          <w:szCs w:val="22"/>
        </w:rPr>
        <w:t>lo injustificado del despido podrá demandar ante el Tribunal o en la Sala que se le cubra la indemnización de tres meses de su salario base,</w:t>
      </w:r>
      <w:r w:rsidRPr="00DD59EA">
        <w:rPr>
          <w:rFonts w:ascii="Palatino Linotype" w:hAnsi="Palatino Linotype"/>
          <w:i/>
          <w:sz w:val="22"/>
          <w:szCs w:val="22"/>
        </w:rPr>
        <w:t xml:space="preserve"> </w:t>
      </w:r>
      <w:r w:rsidRPr="00DD59EA">
        <w:rPr>
          <w:rFonts w:ascii="Palatino Linotype" w:hAnsi="Palatino Linotype"/>
          <w:b/>
          <w:i/>
          <w:sz w:val="22"/>
          <w:szCs w:val="22"/>
        </w:rPr>
        <w:t>así como los salarios vencidos desde la fecha del despido hasta por un periodo máximo de doce meses</w:t>
      </w:r>
      <w:r w:rsidRPr="00DD59EA">
        <w:rPr>
          <w:rFonts w:ascii="Palatino Linotype" w:hAnsi="Palatino Linotype"/>
          <w:i/>
          <w:sz w:val="22"/>
          <w:szCs w:val="22"/>
        </w:rPr>
        <w:t xml:space="preserve"> o que se le reinstale en el trabajo que desempeñaba con el pago de los salarios vencidos desde la fecha del despido hasta por un periodo máximo de doce meses, independientemente del tiempo que, dure el proceso. </w:t>
      </w:r>
    </w:p>
    <w:p w:rsidR="00CE0FB2" w:rsidRPr="00DD59EA" w:rsidRDefault="00CE0FB2" w:rsidP="00CE0FB2">
      <w:pPr>
        <w:ind w:left="851" w:right="899"/>
        <w:jc w:val="both"/>
        <w:rPr>
          <w:rFonts w:ascii="Palatino Linotype" w:hAnsi="Palatino Linotype"/>
          <w:i/>
          <w:sz w:val="22"/>
          <w:szCs w:val="22"/>
        </w:rPr>
      </w:pP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b/>
          <w:i/>
          <w:sz w:val="22"/>
          <w:szCs w:val="22"/>
        </w:rPr>
        <w:t>No se considerará en el pago de salarios vencidos los aguinaldos e incrementos que se otorguen en el salario de los servidores públicos mientras dure el proceso</w:t>
      </w:r>
      <w:r w:rsidRPr="00DD59EA">
        <w:rPr>
          <w:rFonts w:ascii="Palatino Linotype" w:hAnsi="Palatino Linotype"/>
          <w:i/>
          <w:sz w:val="22"/>
          <w:szCs w:val="22"/>
        </w:rPr>
        <w:t xml:space="preserve"> para objeto de las indemnizaciones a que se refieren los artículos 95, 96 y 97 de esta ley.</w:t>
      </w:r>
    </w:p>
    <w:p w:rsidR="00647827" w:rsidRPr="00DD59EA" w:rsidRDefault="00647827" w:rsidP="00CE0FB2">
      <w:pPr>
        <w:ind w:left="851" w:right="899"/>
        <w:jc w:val="both"/>
        <w:rPr>
          <w:rFonts w:ascii="Palatino Linotype" w:hAnsi="Palatino Linotype"/>
          <w:i/>
          <w:sz w:val="22"/>
          <w:szCs w:val="22"/>
        </w:rPr>
      </w:pP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b/>
          <w:i/>
          <w:sz w:val="22"/>
          <w:szCs w:val="22"/>
        </w:rPr>
        <w:t>Cuando el servidor público ejercite la acción de reinstalación en el trabajo que desempeñaba, será procedente el pago proporcional de sus prestaciones a que tenga derecho con los incrementos que sufra su salario en el periodo que dure el proceso, con excepción de los salarios vencidos ya que únicamente se aplicará esta disposición en el máximo de doce meses de pago de los mismos</w:t>
      </w:r>
      <w:r w:rsidRPr="00DD59EA">
        <w:rPr>
          <w:rFonts w:ascii="Palatino Linotype" w:hAnsi="Palatino Linotype"/>
          <w:i/>
          <w:sz w:val="22"/>
          <w:szCs w:val="22"/>
        </w:rPr>
        <w:t>, en caso de ser procedentes.</w:t>
      </w: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i/>
          <w:sz w:val="22"/>
          <w:szCs w:val="22"/>
        </w:rPr>
        <w:t>…</w:t>
      </w: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b/>
          <w:i/>
          <w:sz w:val="22"/>
          <w:szCs w:val="22"/>
        </w:rPr>
        <w:t>ARTÍCULO 97.-</w:t>
      </w:r>
      <w:r w:rsidRPr="00DD59EA">
        <w:rPr>
          <w:rFonts w:ascii="Palatino Linotype" w:hAnsi="Palatino Linotype"/>
          <w:i/>
          <w:sz w:val="22"/>
          <w:szCs w:val="22"/>
        </w:rPr>
        <w:t xml:space="preserve"> </w:t>
      </w:r>
      <w:r w:rsidRPr="00DD59EA">
        <w:rPr>
          <w:rFonts w:ascii="Palatino Linotype" w:hAnsi="Palatino Linotype"/>
          <w:b/>
          <w:i/>
          <w:sz w:val="22"/>
          <w:szCs w:val="22"/>
        </w:rPr>
        <w:t>Las instituciones públicas o dependencias no estarán obligadas a</w:t>
      </w:r>
      <w:r w:rsidRPr="00DD59EA">
        <w:rPr>
          <w:rFonts w:ascii="Palatino Linotype" w:hAnsi="Palatino Linotype"/>
          <w:i/>
          <w:sz w:val="22"/>
          <w:szCs w:val="22"/>
        </w:rPr>
        <w:t xml:space="preserve"> </w:t>
      </w:r>
      <w:r w:rsidRPr="00DD59EA">
        <w:rPr>
          <w:rFonts w:ascii="Palatino Linotype" w:hAnsi="Palatino Linotype"/>
          <w:b/>
          <w:i/>
          <w:sz w:val="22"/>
          <w:szCs w:val="22"/>
        </w:rPr>
        <w:t>reinstalar al servidor público, pero sí a cubrirle la indemnización de tres meses de salario base, veinte días por cada año de servicios en términos del artículo 95 párrafo segundo de esta ley y cubrirle las prestaciones a que tenga derecho, así como los salarios vencidos desde la fecha del despido hasta por un periodo máximo de doce meses, independientemente del tiempo que dure el proceso,</w:t>
      </w:r>
      <w:r w:rsidRPr="00DD59EA">
        <w:rPr>
          <w:rFonts w:ascii="Palatino Linotype" w:hAnsi="Palatino Linotype"/>
          <w:i/>
          <w:sz w:val="22"/>
          <w:szCs w:val="22"/>
        </w:rPr>
        <w:t xml:space="preserve"> exhibiendo la totalidad de la cantidad liquida en moneda nacional o mediante cheque certificado al momento de la negativa de reinstalar al actor.</w:t>
      </w:r>
    </w:p>
    <w:p w:rsidR="00647827" w:rsidRPr="00DD59EA" w:rsidRDefault="00647827" w:rsidP="00CE0FB2">
      <w:pPr>
        <w:ind w:left="851" w:right="899"/>
        <w:jc w:val="both"/>
        <w:rPr>
          <w:rFonts w:ascii="Palatino Linotype" w:hAnsi="Palatino Linotype"/>
          <w:i/>
          <w:sz w:val="22"/>
          <w:szCs w:val="22"/>
        </w:rPr>
      </w:pPr>
    </w:p>
    <w:p w:rsidR="00CE0FB2" w:rsidRPr="00DD59EA" w:rsidRDefault="00CE0FB2" w:rsidP="00CE0FB2">
      <w:pPr>
        <w:ind w:left="851" w:right="899"/>
        <w:jc w:val="both"/>
        <w:rPr>
          <w:rFonts w:ascii="Palatino Linotype" w:hAnsi="Palatino Linotype"/>
          <w:b/>
          <w:i/>
          <w:sz w:val="22"/>
          <w:szCs w:val="22"/>
        </w:rPr>
      </w:pPr>
      <w:r w:rsidRPr="00DD59EA">
        <w:rPr>
          <w:rFonts w:ascii="Palatino Linotype" w:hAnsi="Palatino Linotype"/>
          <w:b/>
          <w:i/>
          <w:sz w:val="22"/>
          <w:szCs w:val="22"/>
        </w:rPr>
        <w:t>ARTÍCULO 98. Son obligaciones de las instituciones públicas:</w:t>
      </w: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i/>
          <w:sz w:val="22"/>
          <w:szCs w:val="22"/>
        </w:rPr>
        <w:t>…</w:t>
      </w:r>
    </w:p>
    <w:p w:rsidR="00CE0FB2" w:rsidRPr="00DD59EA" w:rsidRDefault="00CE0FB2" w:rsidP="00CE0FB2">
      <w:pPr>
        <w:ind w:left="851" w:right="899"/>
        <w:jc w:val="both"/>
        <w:rPr>
          <w:rFonts w:ascii="Palatino Linotype" w:hAnsi="Palatino Linotype"/>
          <w:b/>
          <w:i/>
          <w:sz w:val="22"/>
          <w:szCs w:val="22"/>
        </w:rPr>
      </w:pPr>
      <w:r w:rsidRPr="00DD59EA">
        <w:rPr>
          <w:rFonts w:ascii="Palatino Linotype" w:hAnsi="Palatino Linotype"/>
          <w:b/>
          <w:i/>
          <w:sz w:val="22"/>
          <w:szCs w:val="22"/>
        </w:rPr>
        <w:lastRenderedPageBreak/>
        <w:t>III. Pagar oportunamente los sueldos devengados por los servidores públicos;</w:t>
      </w: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i/>
          <w:sz w:val="22"/>
          <w:szCs w:val="22"/>
        </w:rPr>
        <w:t>…</w:t>
      </w: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b/>
          <w:i/>
          <w:sz w:val="22"/>
          <w:szCs w:val="22"/>
        </w:rPr>
        <w:t>V. Reinstalar cuando proceda al servidor público y pagar los sueldos caídos a que fueren condenadas por laudo ejecutoriado.</w:t>
      </w:r>
      <w:r w:rsidRPr="00DD59EA">
        <w:rPr>
          <w:rFonts w:ascii="Palatino Linotype" w:hAnsi="Palatino Linotype"/>
          <w:i/>
          <w:sz w:val="22"/>
          <w:szCs w:val="22"/>
        </w:rPr>
        <w:t xml:space="preserve"> En caso de que la plaza que ocupaba haya sido suprimida, la institución pública estará obligada a otorgar otra plaza equivalente en categoría y sueldo, o bien a indemnizarlo en los términos que señala el artículo 95 último párrafo de esta ley;</w:t>
      </w:r>
    </w:p>
    <w:p w:rsidR="00647827" w:rsidRPr="00DD59EA" w:rsidRDefault="00647827" w:rsidP="00CE0FB2">
      <w:pPr>
        <w:ind w:left="851" w:right="899"/>
        <w:jc w:val="both"/>
        <w:rPr>
          <w:rFonts w:ascii="Palatino Linotype" w:hAnsi="Palatino Linotype"/>
          <w:i/>
          <w:sz w:val="22"/>
          <w:szCs w:val="22"/>
        </w:rPr>
      </w:pPr>
    </w:p>
    <w:p w:rsidR="00CE0FB2" w:rsidRPr="00DD59EA" w:rsidRDefault="00CE0FB2" w:rsidP="00CE0FB2">
      <w:pPr>
        <w:ind w:left="851" w:right="899"/>
        <w:jc w:val="both"/>
        <w:rPr>
          <w:rFonts w:ascii="Palatino Linotype" w:hAnsi="Palatino Linotype"/>
          <w:i/>
          <w:sz w:val="22"/>
          <w:szCs w:val="22"/>
        </w:rPr>
      </w:pPr>
      <w:r w:rsidRPr="00DD59EA">
        <w:rPr>
          <w:rFonts w:ascii="Palatino Linotype" w:hAnsi="Palatino Linotype"/>
          <w:b/>
          <w:i/>
          <w:sz w:val="22"/>
          <w:szCs w:val="22"/>
        </w:rPr>
        <w:t>VI. Cumplir oportunamente los laudos que dicte el Tribunal y pagar el monto de las indemnizaciones y demás prestaciones a que tenga derecho el servidor público</w:t>
      </w:r>
      <w:r w:rsidRPr="00DD59EA">
        <w:rPr>
          <w:rFonts w:ascii="Palatino Linotype" w:hAnsi="Palatino Linotype"/>
          <w:i/>
          <w:sz w:val="22"/>
          <w:szCs w:val="22"/>
        </w:rPr>
        <w:t>;</w:t>
      </w:r>
    </w:p>
    <w:p w:rsidR="00647827" w:rsidRPr="00DD59EA" w:rsidRDefault="00647827" w:rsidP="00CE0FB2">
      <w:pPr>
        <w:ind w:left="851" w:right="899"/>
        <w:jc w:val="both"/>
        <w:rPr>
          <w:rFonts w:ascii="Palatino Linotype" w:hAnsi="Palatino Linotype"/>
          <w:i/>
          <w:sz w:val="22"/>
          <w:szCs w:val="22"/>
        </w:rPr>
      </w:pPr>
      <w:r w:rsidRPr="00DD59EA">
        <w:rPr>
          <w:rFonts w:ascii="Palatino Linotype" w:hAnsi="Palatino Linotype"/>
          <w:i/>
          <w:sz w:val="22"/>
          <w:szCs w:val="22"/>
        </w:rPr>
        <w:t>…”</w:t>
      </w:r>
    </w:p>
    <w:p w:rsidR="00647827" w:rsidRPr="00DD59EA" w:rsidRDefault="00647827" w:rsidP="00CE0FB2">
      <w:pPr>
        <w:ind w:left="851" w:right="899"/>
        <w:jc w:val="both"/>
        <w:rPr>
          <w:rFonts w:ascii="Palatino Linotype" w:hAnsi="Palatino Linotype" w:cs="Arial"/>
          <w:i/>
          <w:sz w:val="22"/>
          <w:szCs w:val="22"/>
          <w:lang w:eastAsia="es-MX"/>
        </w:rPr>
      </w:pPr>
      <w:r w:rsidRPr="00DD59EA">
        <w:rPr>
          <w:rFonts w:ascii="Palatino Linotype" w:hAnsi="Palatino Linotype"/>
          <w:i/>
          <w:sz w:val="22"/>
          <w:szCs w:val="22"/>
        </w:rPr>
        <w:t>(Énfasis añadido)</w:t>
      </w:r>
    </w:p>
    <w:p w:rsidR="005A67A9" w:rsidRPr="00DD59EA" w:rsidRDefault="00647827" w:rsidP="005A67A9">
      <w:pPr>
        <w:spacing w:before="100" w:beforeAutospacing="1" w:after="100" w:afterAutospacing="1" w:line="360" w:lineRule="auto"/>
        <w:jc w:val="both"/>
        <w:rPr>
          <w:rFonts w:ascii="Palatino Linotype" w:hAnsi="Palatino Linotype" w:cs="Arial"/>
          <w:lang w:eastAsia="es-MX"/>
        </w:rPr>
      </w:pPr>
      <w:r w:rsidRPr="00DD59EA">
        <w:rPr>
          <w:rFonts w:ascii="Palatino Linotype" w:hAnsi="Palatino Linotype" w:cs="Arial"/>
          <w:lang w:eastAsia="es-MX"/>
        </w:rPr>
        <w:t xml:space="preserve">De lo expuesto se puede advertir que, </w:t>
      </w:r>
      <w:r w:rsidRPr="00DD59EA">
        <w:rPr>
          <w:rFonts w:ascii="Palatino Linotype" w:hAnsi="Palatino Linotype" w:cs="Arial"/>
          <w:b/>
          <w:lang w:eastAsia="es-MX"/>
        </w:rPr>
        <w:t xml:space="preserve">EL SUJETO OBLIGADO </w:t>
      </w:r>
      <w:r w:rsidRPr="00DD59EA">
        <w:rPr>
          <w:rFonts w:ascii="Palatino Linotype" w:hAnsi="Palatino Linotype" w:cs="Arial"/>
          <w:lang w:eastAsia="es-MX"/>
        </w:rPr>
        <w:t>tiene la atribución de dar cumplimiento a lo establecido en la Ley del Trabajo de los Servidores Públicos del Estado y Municipios; razón por la cual, respecto a la solicitud de información relativa al aumento de sueldo del servidor público referido en la solicitud de información, durante el periodo correspondiente del 1 de enero al 31 de diciembre de 2018, este Órgano Garante considera necesario referir que</w:t>
      </w:r>
      <w:r w:rsidR="00123F5A" w:rsidRPr="00DD59EA">
        <w:rPr>
          <w:rFonts w:ascii="Palatino Linotype" w:hAnsi="Palatino Linotype" w:cs="Arial"/>
          <w:lang w:eastAsia="es-MX"/>
        </w:rPr>
        <w:t xml:space="preserve"> el numeral 87 </w:t>
      </w:r>
      <w:r w:rsidR="00E639F5" w:rsidRPr="00DD59EA">
        <w:rPr>
          <w:rFonts w:ascii="Palatino Linotype" w:hAnsi="Palatino Linotype" w:cs="Arial"/>
          <w:lang w:eastAsia="es-MX"/>
        </w:rPr>
        <w:t xml:space="preserve">de la Ley en cita, establece que </w:t>
      </w:r>
      <w:r w:rsidR="00123F5A" w:rsidRPr="00DD59EA">
        <w:rPr>
          <w:rFonts w:ascii="Palatino Linotype" w:hAnsi="Palatino Linotype" w:cs="Arial"/>
          <w:lang w:eastAsia="es-MX"/>
        </w:rPr>
        <w:t>los servidores p</w:t>
      </w:r>
      <w:r w:rsidR="005A67A9" w:rsidRPr="00DD59EA">
        <w:rPr>
          <w:rFonts w:ascii="Palatino Linotype" w:hAnsi="Palatino Linotype" w:cs="Arial"/>
          <w:lang w:eastAsia="es-MX"/>
        </w:rPr>
        <w:t xml:space="preserve">úblicos tendrán entre sus derechos el obtener ascensos, de acuerdo a disposiciones </w:t>
      </w:r>
      <w:proofErr w:type="spellStart"/>
      <w:r w:rsidR="005A67A9" w:rsidRPr="00DD59EA">
        <w:rPr>
          <w:rFonts w:ascii="Palatino Linotype" w:hAnsi="Palatino Linotype" w:cs="Arial"/>
          <w:lang w:eastAsia="es-MX"/>
        </w:rPr>
        <w:t>escalafonarias</w:t>
      </w:r>
      <w:proofErr w:type="spellEnd"/>
      <w:r w:rsidR="005A67A9" w:rsidRPr="00DD59EA">
        <w:rPr>
          <w:rStyle w:val="Refdenotaalpie"/>
          <w:rFonts w:ascii="Palatino Linotype" w:hAnsi="Palatino Linotype" w:cs="Arial"/>
          <w:lang w:eastAsia="es-MX"/>
        </w:rPr>
        <w:footnoteReference w:id="4"/>
      </w:r>
      <w:r w:rsidR="005A67A9" w:rsidRPr="00DD59EA">
        <w:rPr>
          <w:rFonts w:ascii="Palatino Linotype" w:hAnsi="Palatino Linotype" w:cs="Arial"/>
          <w:lang w:eastAsia="es-MX"/>
        </w:rPr>
        <w:t xml:space="preserve"> aplicables, sirviendo de sustento la transcripción del artículo de referencia: </w:t>
      </w:r>
    </w:p>
    <w:p w:rsidR="00123F5A" w:rsidRPr="00DD59EA" w:rsidRDefault="005A67A9" w:rsidP="005A67A9">
      <w:pPr>
        <w:ind w:left="851" w:right="899"/>
        <w:jc w:val="both"/>
        <w:rPr>
          <w:rFonts w:ascii="Palatino Linotype" w:hAnsi="Palatino Linotype"/>
          <w:i/>
          <w:sz w:val="22"/>
          <w:szCs w:val="22"/>
        </w:rPr>
      </w:pPr>
      <w:r w:rsidRPr="00DD59EA">
        <w:rPr>
          <w:rFonts w:ascii="Palatino Linotype" w:hAnsi="Palatino Linotype"/>
          <w:i/>
          <w:sz w:val="22"/>
          <w:szCs w:val="22"/>
        </w:rPr>
        <w:t>“</w:t>
      </w:r>
      <w:r w:rsidR="00123F5A" w:rsidRPr="00DD59EA">
        <w:rPr>
          <w:rFonts w:ascii="Palatino Linotype" w:hAnsi="Palatino Linotype"/>
          <w:i/>
          <w:sz w:val="22"/>
          <w:szCs w:val="22"/>
        </w:rPr>
        <w:t>ARTÍCULO 87. Los servidores públicos generales por tiempo indeterminado tendrán, además, los siguientes derechos:</w:t>
      </w:r>
    </w:p>
    <w:p w:rsidR="005A67A9" w:rsidRPr="00DD59EA" w:rsidRDefault="005A67A9" w:rsidP="005A67A9">
      <w:pPr>
        <w:ind w:left="851" w:right="899"/>
        <w:jc w:val="both"/>
        <w:rPr>
          <w:rFonts w:ascii="Palatino Linotype" w:hAnsi="Palatino Linotype"/>
          <w:i/>
          <w:sz w:val="22"/>
          <w:szCs w:val="22"/>
        </w:rPr>
      </w:pPr>
      <w:r w:rsidRPr="00DD59EA">
        <w:rPr>
          <w:rFonts w:ascii="Palatino Linotype" w:hAnsi="Palatino Linotype"/>
          <w:i/>
          <w:sz w:val="22"/>
          <w:szCs w:val="22"/>
        </w:rPr>
        <w:t>…</w:t>
      </w:r>
    </w:p>
    <w:p w:rsidR="007463AC" w:rsidRPr="00DD59EA" w:rsidRDefault="00123F5A" w:rsidP="005A67A9">
      <w:pPr>
        <w:ind w:left="851" w:right="899"/>
        <w:jc w:val="both"/>
        <w:rPr>
          <w:rFonts w:ascii="Palatino Linotype" w:hAnsi="Palatino Linotype"/>
          <w:b/>
          <w:i/>
          <w:sz w:val="22"/>
          <w:szCs w:val="22"/>
        </w:rPr>
      </w:pPr>
      <w:r w:rsidRPr="00DD59EA">
        <w:rPr>
          <w:rFonts w:ascii="Palatino Linotype" w:hAnsi="Palatino Linotype"/>
          <w:b/>
          <w:i/>
          <w:sz w:val="22"/>
          <w:szCs w:val="22"/>
        </w:rPr>
        <w:t xml:space="preserve">III. Obtener ascensos, de acuerdo a las disposiciones </w:t>
      </w:r>
      <w:proofErr w:type="spellStart"/>
      <w:r w:rsidRPr="00DD59EA">
        <w:rPr>
          <w:rFonts w:ascii="Palatino Linotype" w:hAnsi="Palatino Linotype"/>
          <w:b/>
          <w:i/>
          <w:sz w:val="22"/>
          <w:szCs w:val="22"/>
        </w:rPr>
        <w:t>escalafonarias</w:t>
      </w:r>
      <w:proofErr w:type="spellEnd"/>
      <w:r w:rsidRPr="00DD59EA">
        <w:rPr>
          <w:rFonts w:ascii="Palatino Linotype" w:hAnsi="Palatino Linotype"/>
          <w:b/>
          <w:i/>
          <w:sz w:val="22"/>
          <w:szCs w:val="22"/>
        </w:rPr>
        <w:t xml:space="preserve"> aplicables;</w:t>
      </w:r>
      <w:r w:rsidR="005A67A9" w:rsidRPr="00DD59EA">
        <w:rPr>
          <w:rFonts w:ascii="Palatino Linotype" w:hAnsi="Palatino Linotype"/>
          <w:b/>
          <w:i/>
          <w:sz w:val="22"/>
          <w:szCs w:val="22"/>
        </w:rPr>
        <w:t>”</w:t>
      </w:r>
    </w:p>
    <w:p w:rsidR="00E639F5" w:rsidRPr="00DD59EA" w:rsidRDefault="00E639F5" w:rsidP="00E639F5">
      <w:pPr>
        <w:ind w:left="851" w:right="899"/>
        <w:jc w:val="both"/>
        <w:rPr>
          <w:rFonts w:ascii="Palatino Linotype" w:hAnsi="Palatino Linotype"/>
          <w:i/>
          <w:sz w:val="22"/>
          <w:szCs w:val="22"/>
        </w:rPr>
      </w:pPr>
      <w:r w:rsidRPr="00DD59EA">
        <w:rPr>
          <w:rFonts w:ascii="Palatino Linotype" w:hAnsi="Palatino Linotype"/>
          <w:i/>
          <w:sz w:val="22"/>
          <w:szCs w:val="22"/>
        </w:rPr>
        <w:t>(Énfasis añadido)</w:t>
      </w:r>
    </w:p>
    <w:p w:rsidR="00E639F5" w:rsidRPr="00DD59EA" w:rsidRDefault="00872FBE" w:rsidP="00DA47BB">
      <w:pPr>
        <w:spacing w:before="100" w:beforeAutospacing="1" w:after="100" w:afterAutospacing="1" w:line="360" w:lineRule="auto"/>
        <w:jc w:val="both"/>
        <w:rPr>
          <w:rFonts w:ascii="Palatino Linotype" w:hAnsi="Palatino Linotype" w:cs="Arial"/>
          <w:lang w:eastAsia="es-MX"/>
        </w:rPr>
      </w:pPr>
      <w:r w:rsidRPr="00DD59EA">
        <w:rPr>
          <w:rFonts w:ascii="Palatino Linotype" w:hAnsi="Palatino Linotype" w:cs="Arial"/>
          <w:lang w:eastAsia="es-MX"/>
        </w:rPr>
        <w:lastRenderedPageBreak/>
        <w:t xml:space="preserve">Es así que, </w:t>
      </w:r>
      <w:r w:rsidR="00E639F5" w:rsidRPr="00DD59EA">
        <w:rPr>
          <w:rFonts w:ascii="Palatino Linotype" w:hAnsi="Palatino Linotype" w:cs="Arial"/>
          <w:lang w:eastAsia="es-MX"/>
        </w:rPr>
        <w:t xml:space="preserve">esté Órgano Garante considera que al existir fuente obligacional que constriñe al </w:t>
      </w:r>
      <w:r w:rsidR="00E639F5" w:rsidRPr="00DD59EA">
        <w:rPr>
          <w:rFonts w:ascii="Palatino Linotype" w:hAnsi="Palatino Linotype" w:cs="Arial"/>
          <w:b/>
          <w:lang w:eastAsia="es-MX"/>
        </w:rPr>
        <w:t xml:space="preserve">SUJETO OBLIGADO </w:t>
      </w:r>
      <w:r w:rsidR="00E639F5" w:rsidRPr="00DD59EA">
        <w:rPr>
          <w:rFonts w:ascii="Palatino Linotype" w:hAnsi="Palatino Linotype" w:cs="Arial"/>
          <w:lang w:eastAsia="es-MX"/>
        </w:rPr>
        <w:t xml:space="preserve">a contar con la información solicitada, se advierte que </w:t>
      </w:r>
      <w:r w:rsidR="00E75914" w:rsidRPr="00DD59EA">
        <w:rPr>
          <w:rFonts w:ascii="Palatino Linotype" w:hAnsi="Palatino Linotype" w:cs="Arial"/>
          <w:lang w:eastAsia="es-MX"/>
        </w:rPr>
        <w:t xml:space="preserve">el </w:t>
      </w:r>
      <w:r w:rsidR="00E639F5" w:rsidRPr="00DD59EA">
        <w:rPr>
          <w:rFonts w:ascii="Palatino Linotype" w:hAnsi="Palatino Linotype" w:cs="Arial"/>
          <w:lang w:eastAsia="es-MX"/>
        </w:rPr>
        <w:t>docume</w:t>
      </w:r>
      <w:r w:rsidR="00E75914" w:rsidRPr="00DD59EA">
        <w:rPr>
          <w:rFonts w:ascii="Palatino Linotype" w:hAnsi="Palatino Linotype" w:cs="Arial"/>
          <w:lang w:eastAsia="es-MX"/>
        </w:rPr>
        <w:t>nto</w:t>
      </w:r>
      <w:r w:rsidR="00E639F5" w:rsidRPr="00DD59EA">
        <w:rPr>
          <w:rFonts w:ascii="Palatino Linotype" w:hAnsi="Palatino Linotype" w:cs="Arial"/>
          <w:lang w:eastAsia="es-MX"/>
        </w:rPr>
        <w:t xml:space="preserve"> que de manera enunciativa mas no limitativa pudiera colmar las solici</w:t>
      </w:r>
      <w:r w:rsidR="00E75914" w:rsidRPr="00DD59EA">
        <w:rPr>
          <w:rFonts w:ascii="Palatino Linotype" w:hAnsi="Palatino Linotype" w:cs="Arial"/>
          <w:lang w:eastAsia="es-MX"/>
        </w:rPr>
        <w:t>tudes de la particular, pudiera</w:t>
      </w:r>
      <w:r w:rsidR="00E639F5" w:rsidRPr="00DD59EA">
        <w:rPr>
          <w:rFonts w:ascii="Palatino Linotype" w:hAnsi="Palatino Linotype" w:cs="Arial"/>
          <w:lang w:eastAsia="es-MX"/>
        </w:rPr>
        <w:t xml:space="preserve"> ser </w:t>
      </w:r>
      <w:r w:rsidR="00E65421" w:rsidRPr="00DD59EA">
        <w:rPr>
          <w:rFonts w:ascii="Palatino Linotype" w:hAnsi="Palatino Linotype" w:cs="Arial"/>
          <w:lang w:eastAsia="es-MX"/>
        </w:rPr>
        <w:t>la nómina detallada</w:t>
      </w:r>
      <w:r w:rsidR="00E75914" w:rsidRPr="00DD59EA">
        <w:rPr>
          <w:rFonts w:ascii="Palatino Linotype" w:hAnsi="Palatino Linotype" w:cs="Arial"/>
          <w:lang w:eastAsia="es-MX"/>
        </w:rPr>
        <w:t>,</w:t>
      </w:r>
      <w:r w:rsidR="00E65421" w:rsidRPr="00DD59EA">
        <w:rPr>
          <w:rFonts w:ascii="Palatino Linotype" w:hAnsi="Palatino Linotype" w:cs="Arial"/>
          <w:b/>
          <w:lang w:eastAsia="es-MX"/>
        </w:rPr>
        <w:t xml:space="preserve"> </w:t>
      </w:r>
      <w:r w:rsidR="00E65421" w:rsidRPr="00DD59EA">
        <w:rPr>
          <w:rFonts w:ascii="Palatino Linotype" w:hAnsi="Palatino Linotype" w:cs="Arial"/>
          <w:lang w:eastAsia="es-MX"/>
        </w:rPr>
        <w:t xml:space="preserve">toda vez que, en el sueldo es precisamente en donde se ven reflejados los aumentos de los que hubiera </w:t>
      </w:r>
      <w:r w:rsidR="0086006A" w:rsidRPr="00DD59EA">
        <w:rPr>
          <w:rFonts w:ascii="Palatino Linotype" w:hAnsi="Palatino Linotype" w:cs="Arial"/>
          <w:lang w:eastAsia="es-MX"/>
        </w:rPr>
        <w:t>sido objeto y al mismo tiempo puede advertirse</w:t>
      </w:r>
      <w:r w:rsidR="00E75914" w:rsidRPr="00DD59EA">
        <w:rPr>
          <w:rFonts w:ascii="Palatino Linotype" w:hAnsi="Palatino Linotype" w:cs="Arial"/>
          <w:lang w:eastAsia="es-MX"/>
        </w:rPr>
        <w:t xml:space="preserve"> en ella la fecha a partir de la cual, resultaba aplicable; así como, </w:t>
      </w:r>
      <w:r w:rsidR="0086006A" w:rsidRPr="00DD59EA">
        <w:rPr>
          <w:rFonts w:ascii="Palatino Linotype" w:hAnsi="Palatino Linotype" w:cs="Arial"/>
          <w:lang w:eastAsia="es-MX"/>
        </w:rPr>
        <w:t xml:space="preserve">si </w:t>
      </w:r>
      <w:r w:rsidR="0086006A" w:rsidRPr="00DD59EA">
        <w:rPr>
          <w:rFonts w:ascii="Palatino Linotype" w:hAnsi="Palatino Linotype" w:cs="Arial"/>
          <w:b/>
          <w:lang w:eastAsia="es-MX"/>
        </w:rPr>
        <w:t xml:space="preserve">EL SUJETO OBLIGADO </w:t>
      </w:r>
      <w:r w:rsidR="0086006A" w:rsidRPr="00DD59EA">
        <w:rPr>
          <w:rFonts w:ascii="Palatino Linotype" w:hAnsi="Palatino Linotype" w:cs="Arial"/>
          <w:lang w:eastAsia="es-MX"/>
        </w:rPr>
        <w:t>le adeuda alguna prestación al servidor público referido en la solicitud de información.</w:t>
      </w:r>
    </w:p>
    <w:p w:rsidR="009753F7" w:rsidRPr="00DD59EA" w:rsidRDefault="009753F7" w:rsidP="009753F7">
      <w:pPr>
        <w:autoSpaceDE w:val="0"/>
        <w:autoSpaceDN w:val="0"/>
        <w:adjustRightInd w:val="0"/>
        <w:spacing w:before="240" w:after="360" w:line="360" w:lineRule="auto"/>
        <w:jc w:val="both"/>
        <w:rPr>
          <w:rFonts w:ascii="Palatino Linotype" w:eastAsia="Calibri" w:hAnsi="Palatino Linotype" w:cs="Arial"/>
        </w:rPr>
      </w:pPr>
      <w:r w:rsidRPr="00DD59EA">
        <w:rPr>
          <w:rFonts w:ascii="Palatino Linotype" w:eastAsia="Calibri" w:hAnsi="Palatino Linotype" w:cs="Arial"/>
        </w:rPr>
        <w:t>De este modo, la obligación de generar la información relacionada con la nómina a cargo de los Sujetos Obligados, deviene del penúltimo párrafo del artículo 23 de la Ley de Transparencia y Acceso a la Información Pública del Estado de México y Municipios que dicta:</w:t>
      </w:r>
    </w:p>
    <w:p w:rsidR="009753F7" w:rsidRPr="00DD59EA" w:rsidRDefault="009753F7" w:rsidP="00E75914">
      <w:pPr>
        <w:tabs>
          <w:tab w:val="left" w:pos="5190"/>
        </w:tabs>
        <w:autoSpaceDE w:val="0"/>
        <w:autoSpaceDN w:val="0"/>
        <w:adjustRightInd w:val="0"/>
        <w:ind w:left="851" w:right="902"/>
        <w:jc w:val="both"/>
        <w:rPr>
          <w:rFonts w:ascii="Palatino Linotype" w:hAnsi="Palatino Linotype"/>
          <w:b/>
          <w:i/>
          <w:sz w:val="22"/>
          <w:szCs w:val="22"/>
        </w:rPr>
      </w:pPr>
      <w:r w:rsidRPr="00DD59EA">
        <w:rPr>
          <w:rFonts w:ascii="Palatino Linotype" w:eastAsia="Calibri" w:hAnsi="Palatino Linotype" w:cs="Arial"/>
          <w:bCs/>
          <w:i/>
          <w:sz w:val="22"/>
          <w:szCs w:val="22"/>
          <w:lang w:eastAsia="es-MX"/>
        </w:rPr>
        <w:t>“</w:t>
      </w:r>
      <w:r w:rsidRPr="00DD59EA">
        <w:rPr>
          <w:rFonts w:ascii="Palatino Linotype" w:hAnsi="Palatino Linotype"/>
          <w:b/>
          <w:i/>
          <w:sz w:val="22"/>
          <w:szCs w:val="22"/>
        </w:rPr>
        <w:t>Artículo 23.</w:t>
      </w:r>
    </w:p>
    <w:p w:rsidR="009753F7" w:rsidRPr="00DD59EA" w:rsidRDefault="009753F7" w:rsidP="00E75914">
      <w:pPr>
        <w:autoSpaceDE w:val="0"/>
        <w:autoSpaceDN w:val="0"/>
        <w:adjustRightInd w:val="0"/>
        <w:ind w:left="851" w:right="902"/>
        <w:jc w:val="both"/>
        <w:rPr>
          <w:rFonts w:ascii="Palatino Linotype" w:eastAsia="Calibri" w:hAnsi="Palatino Linotype" w:cs="Arial"/>
          <w:bCs/>
          <w:i/>
          <w:sz w:val="22"/>
          <w:szCs w:val="22"/>
          <w:lang w:eastAsia="es-MX"/>
        </w:rPr>
      </w:pPr>
      <w:r w:rsidRPr="00DD59EA">
        <w:rPr>
          <w:rFonts w:ascii="Palatino Linotype" w:eastAsia="Calibri" w:hAnsi="Palatino Linotype" w:cs="Arial"/>
          <w:bCs/>
          <w:i/>
          <w:sz w:val="22"/>
          <w:szCs w:val="22"/>
          <w:lang w:eastAsia="es-MX"/>
        </w:rPr>
        <w:t>…</w:t>
      </w:r>
    </w:p>
    <w:p w:rsidR="009753F7" w:rsidRPr="00DD59EA" w:rsidRDefault="009753F7" w:rsidP="00E75914">
      <w:pPr>
        <w:autoSpaceDE w:val="0"/>
        <w:autoSpaceDN w:val="0"/>
        <w:adjustRightInd w:val="0"/>
        <w:ind w:left="851" w:right="902"/>
        <w:jc w:val="both"/>
        <w:rPr>
          <w:rFonts w:ascii="Palatino Linotype" w:eastAsia="Calibri" w:hAnsi="Palatino Linotype" w:cs="Arial"/>
          <w:i/>
          <w:sz w:val="22"/>
          <w:szCs w:val="22"/>
          <w:lang w:eastAsia="es-MX"/>
        </w:rPr>
      </w:pPr>
      <w:r w:rsidRPr="00DD59EA">
        <w:rPr>
          <w:rFonts w:ascii="Palatino Linotype" w:hAnsi="Palatino Linotype"/>
          <w:b/>
          <w:i/>
          <w:sz w:val="22"/>
          <w:szCs w:val="22"/>
        </w:rPr>
        <w:t>Los sujetos obligados deberán hacer pública toda aquella información relativa a los montos y las personas a quienes entreguen, por cualquier motivo, recursos públicos,</w:t>
      </w:r>
      <w:r w:rsidRPr="00DD59EA">
        <w:rPr>
          <w:rFonts w:ascii="Palatino Linotype" w:hAnsi="Palatino Linotype"/>
          <w:i/>
          <w:sz w:val="22"/>
          <w:szCs w:val="22"/>
        </w:rPr>
        <w:t xml:space="preserve"> así como los informes que dichas personas les entreguen sobre el uso y destino de dichos recursos…</w:t>
      </w:r>
      <w:r w:rsidRPr="00DD59EA">
        <w:rPr>
          <w:rFonts w:ascii="Palatino Linotype" w:eastAsia="Calibri" w:hAnsi="Palatino Linotype" w:cs="Arial"/>
          <w:i/>
          <w:sz w:val="22"/>
          <w:szCs w:val="22"/>
          <w:lang w:eastAsia="es-MX"/>
        </w:rPr>
        <w:t>”</w:t>
      </w:r>
    </w:p>
    <w:p w:rsidR="009753F7" w:rsidRPr="00DD59EA" w:rsidRDefault="009753F7" w:rsidP="009753F7">
      <w:pPr>
        <w:spacing w:before="240" w:after="360" w:line="360" w:lineRule="auto"/>
        <w:jc w:val="both"/>
        <w:rPr>
          <w:rFonts w:ascii="Palatino Linotype" w:eastAsia="Calibri" w:hAnsi="Palatino Linotype" w:cs="Arial"/>
        </w:rPr>
      </w:pPr>
      <w:r w:rsidRPr="00DD59EA">
        <w:rPr>
          <w:rFonts w:ascii="Palatino Linotype" w:eastAsia="Calibri" w:hAnsi="Palatino Linotype" w:cs="Arial"/>
        </w:rPr>
        <w:t>Aunado a ello, el artículo 92</w:t>
      </w:r>
      <w:r w:rsidR="00E75914" w:rsidRPr="00DD59EA">
        <w:rPr>
          <w:rFonts w:ascii="Palatino Linotype" w:eastAsia="Calibri" w:hAnsi="Palatino Linotype" w:cs="Arial"/>
        </w:rPr>
        <w:t>,</w:t>
      </w:r>
      <w:r w:rsidRPr="00DD59EA">
        <w:rPr>
          <w:rFonts w:ascii="Palatino Linotype" w:eastAsia="Calibri" w:hAnsi="Palatino Linotype" w:cs="Arial"/>
        </w:rPr>
        <w:t xml:space="preserve"> fracción VIII de la citada Ley, indica como una obligación de transparencia común a todos los Sujetos Obligados el poner a disposición del público de </w:t>
      </w:r>
      <w:r w:rsidR="00E75914" w:rsidRPr="00DD59EA">
        <w:rPr>
          <w:rFonts w:ascii="Palatino Linotype" w:eastAsia="Calibri" w:hAnsi="Palatino Linotype" w:cs="Arial"/>
        </w:rPr>
        <w:t>manera permanente y actualizada;</w:t>
      </w:r>
      <w:r w:rsidRPr="00DD59EA">
        <w:rPr>
          <w:rFonts w:ascii="Palatino Linotype" w:eastAsia="Calibri" w:hAnsi="Palatino Linotype" w:cs="Arial"/>
        </w:rPr>
        <w:t xml:space="preserve"> así como</w:t>
      </w:r>
      <w:r w:rsidR="00E75914" w:rsidRPr="00DD59EA">
        <w:rPr>
          <w:rFonts w:ascii="Palatino Linotype" w:eastAsia="Calibri" w:hAnsi="Palatino Linotype" w:cs="Arial"/>
        </w:rPr>
        <w:t>,</w:t>
      </w:r>
      <w:r w:rsidRPr="00DD59EA">
        <w:rPr>
          <w:rFonts w:ascii="Palatino Linotype" w:eastAsia="Calibri" w:hAnsi="Palatino Linotype" w:cs="Arial"/>
        </w:rPr>
        <w:t xml:space="preserve"> de forma sencilla precisa y entendible en los respectivos medios electrónicos la información relativa a la remuneración bruta y neta de todos los servidores públicos de base o de confianza y de todas las prestaciones, como se observa de la siguiente transcripción.</w:t>
      </w:r>
    </w:p>
    <w:p w:rsidR="009753F7" w:rsidRPr="00DD59EA" w:rsidRDefault="009753F7" w:rsidP="009753F7">
      <w:pPr>
        <w:ind w:left="851" w:right="902"/>
        <w:jc w:val="both"/>
        <w:rPr>
          <w:rFonts w:ascii="Palatino Linotype" w:hAnsi="Palatino Linotype"/>
          <w:i/>
          <w:sz w:val="22"/>
          <w:szCs w:val="22"/>
        </w:rPr>
      </w:pPr>
      <w:r w:rsidRPr="00DD59EA">
        <w:rPr>
          <w:rFonts w:ascii="Palatino Linotype" w:eastAsia="Calibri" w:hAnsi="Palatino Linotype" w:cs="Arial"/>
          <w:i/>
          <w:sz w:val="22"/>
          <w:szCs w:val="22"/>
        </w:rPr>
        <w:lastRenderedPageBreak/>
        <w:t>“</w:t>
      </w:r>
      <w:r w:rsidRPr="00DD59EA">
        <w:rPr>
          <w:rFonts w:ascii="Palatino Linotype" w:hAnsi="Palatino Linotype"/>
          <w:b/>
          <w:i/>
          <w:sz w:val="22"/>
          <w:szCs w:val="22"/>
        </w:rPr>
        <w:t>Artículo 92</w:t>
      </w:r>
      <w:r w:rsidRPr="00DD59EA">
        <w:rPr>
          <w:rFonts w:ascii="Palatino Linotype" w:hAnsi="Palatino Linotype"/>
          <w:i/>
          <w:sz w:val="22"/>
          <w:szCs w:val="22"/>
        </w:rPr>
        <w:t>. 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 se señalan:</w:t>
      </w:r>
    </w:p>
    <w:p w:rsidR="009753F7" w:rsidRPr="00DD59EA" w:rsidRDefault="009753F7" w:rsidP="009753F7">
      <w:pPr>
        <w:ind w:left="851" w:right="902"/>
        <w:jc w:val="both"/>
        <w:rPr>
          <w:rFonts w:ascii="Palatino Linotype" w:hAnsi="Palatino Linotype"/>
          <w:i/>
          <w:sz w:val="22"/>
          <w:szCs w:val="22"/>
        </w:rPr>
      </w:pPr>
      <w:r w:rsidRPr="00DD59EA">
        <w:rPr>
          <w:rFonts w:ascii="Palatino Linotype" w:hAnsi="Palatino Linotype"/>
          <w:i/>
          <w:sz w:val="22"/>
          <w:szCs w:val="22"/>
        </w:rPr>
        <w:t>…</w:t>
      </w:r>
    </w:p>
    <w:p w:rsidR="009753F7" w:rsidRPr="00DD59EA" w:rsidRDefault="009753F7" w:rsidP="009753F7">
      <w:pPr>
        <w:ind w:left="851" w:right="902"/>
        <w:jc w:val="both"/>
        <w:rPr>
          <w:rFonts w:ascii="Palatino Linotype" w:eastAsia="Calibri" w:hAnsi="Palatino Linotype" w:cs="Arial"/>
        </w:rPr>
      </w:pPr>
      <w:r w:rsidRPr="00DD59EA">
        <w:rPr>
          <w:rFonts w:ascii="Palatino Linotype" w:hAnsi="Palatino Linotype"/>
          <w:b/>
          <w:i/>
          <w:sz w:val="22"/>
          <w:szCs w:val="22"/>
        </w:rPr>
        <w:t>VIII. La remuneración bruta y neta de todos los servidores públicos de base o de confianza,</w:t>
      </w:r>
      <w:r w:rsidRPr="00DD59EA">
        <w:rPr>
          <w:rFonts w:ascii="Palatino Linotype" w:hAnsi="Palatino Linotype"/>
          <w:i/>
          <w:sz w:val="22"/>
          <w:szCs w:val="22"/>
        </w:rPr>
        <w:t xml:space="preserve"> de todas las percepciones, incluyendo sueldos, prestaciones, gratificaciones, primas, comisiones, dietas, bonos, estímulos, ingresos y sistemas de compensación, señalando la periodicidad de dicha remuneración…”</w:t>
      </w:r>
    </w:p>
    <w:p w:rsidR="009753F7" w:rsidRPr="00DD59EA" w:rsidRDefault="009753F7" w:rsidP="009753F7">
      <w:pPr>
        <w:spacing w:before="240" w:after="360" w:line="360" w:lineRule="auto"/>
        <w:jc w:val="both"/>
        <w:rPr>
          <w:rFonts w:ascii="Palatino Linotype" w:eastAsia="Calibri" w:hAnsi="Palatino Linotype" w:cs="Arial"/>
          <w:lang w:eastAsia="es-MX"/>
        </w:rPr>
      </w:pPr>
      <w:r w:rsidRPr="00DD59EA">
        <w:rPr>
          <w:rFonts w:ascii="Palatino Linotype" w:eastAsia="Calibri" w:hAnsi="Palatino Linotype" w:cs="Arial"/>
        </w:rPr>
        <w:t xml:space="preserve">En este sentido, queda evidenciado que la </w:t>
      </w:r>
      <w:r w:rsidR="00E75914" w:rsidRPr="00DD59EA">
        <w:rPr>
          <w:rFonts w:ascii="Palatino Linotype" w:eastAsia="Calibri" w:hAnsi="Palatino Linotype" w:cs="Arial"/>
        </w:rPr>
        <w:t>nómina detalla</w:t>
      </w:r>
      <w:r w:rsidRPr="00DD59EA">
        <w:rPr>
          <w:rFonts w:ascii="Palatino Linotype" w:eastAsia="Calibri" w:hAnsi="Palatino Linotype" w:cs="Arial"/>
        </w:rPr>
        <w:t>, es considerada información pública de oficio a la luz de la Ley de Transparencia y Acceso a la Información Pública del Estado de México y Municipios, misma que hace referencia de manera específica a que los Su</w:t>
      </w:r>
      <w:r w:rsidRPr="00DD59EA">
        <w:rPr>
          <w:rFonts w:ascii="Palatino Linotype" w:eastAsia="Calibri" w:hAnsi="Palatino Linotype" w:cs="Arial"/>
          <w:lang w:eastAsia="es-MX"/>
        </w:rPr>
        <w:t xml:space="preserve">jetos Obligados deben hacer pública la información relativa a la remuneración que perciben todos sus servidores públicos; consecuentemente en el caso concreto, para satisfacer el derecho de acceso de la parte solicitante, es necesario que </w:t>
      </w:r>
      <w:r w:rsidRPr="00DD59EA">
        <w:rPr>
          <w:rFonts w:ascii="Palatino Linotype" w:eastAsia="Calibri" w:hAnsi="Palatino Linotype" w:cs="Arial"/>
          <w:b/>
          <w:lang w:eastAsia="es-MX"/>
        </w:rPr>
        <w:t>EL SUJETO OBLIGADO</w:t>
      </w:r>
      <w:r w:rsidRPr="00DD59EA">
        <w:rPr>
          <w:rFonts w:ascii="Palatino Linotype" w:eastAsia="Calibri" w:hAnsi="Palatino Linotype" w:cs="Arial"/>
          <w:lang w:eastAsia="es-MX"/>
        </w:rPr>
        <w:t xml:space="preserve"> entregue los documentos a través de los cuales, la hoy </w:t>
      </w:r>
      <w:r w:rsidRPr="00DD59EA">
        <w:rPr>
          <w:rFonts w:ascii="Palatino Linotype" w:eastAsia="Calibri" w:hAnsi="Palatino Linotype" w:cs="Arial"/>
          <w:b/>
          <w:lang w:eastAsia="es-MX"/>
        </w:rPr>
        <w:t>RECURRENTE</w:t>
      </w:r>
      <w:r w:rsidRPr="00DD59EA">
        <w:rPr>
          <w:rFonts w:ascii="Palatino Linotype" w:eastAsia="Calibri" w:hAnsi="Palatino Linotype" w:cs="Arial"/>
          <w:lang w:eastAsia="es-MX"/>
        </w:rPr>
        <w:t xml:space="preserve"> pueda consultar la información materia de la solicitud.</w:t>
      </w:r>
    </w:p>
    <w:p w:rsidR="009753F7" w:rsidRPr="00DD59EA" w:rsidRDefault="009753F7" w:rsidP="009753F7">
      <w:pPr>
        <w:autoSpaceDE w:val="0"/>
        <w:autoSpaceDN w:val="0"/>
        <w:adjustRightInd w:val="0"/>
        <w:spacing w:before="240" w:after="240" w:line="360" w:lineRule="auto"/>
        <w:jc w:val="both"/>
        <w:rPr>
          <w:rFonts w:ascii="Palatino Linotype" w:eastAsia="Arial Unicode MS" w:hAnsi="Palatino Linotype" w:cs="Arial"/>
        </w:rPr>
      </w:pPr>
      <w:r w:rsidRPr="00DD59EA">
        <w:rPr>
          <w:rFonts w:ascii="Palatino Linotype" w:hAnsi="Palatino Linotype" w:cs="Arial"/>
        </w:rPr>
        <w:t xml:space="preserve">Asimismo, resulta oportuno mencionar que de conformidad con el artículo </w:t>
      </w:r>
      <w:r w:rsidRPr="00DD59EA">
        <w:rPr>
          <w:rFonts w:ascii="Palatino Linotype" w:eastAsia="Arial Unicode MS" w:hAnsi="Palatino Linotype" w:cs="Arial"/>
        </w:rPr>
        <w:t xml:space="preserve">350 del Código Financiero del Estado de México y Municipios, existe la obligación a cargo de las entidades fiscalizables, como lo es </w:t>
      </w:r>
      <w:r w:rsidRPr="00DD59EA">
        <w:rPr>
          <w:rFonts w:ascii="Palatino Linotype" w:eastAsia="Arial Unicode MS" w:hAnsi="Palatino Linotype" w:cs="Arial"/>
          <w:b/>
        </w:rPr>
        <w:t>EL SUJETO OBLIGADO</w:t>
      </w:r>
      <w:r w:rsidRPr="00DD59EA">
        <w:rPr>
          <w:rFonts w:ascii="Palatino Linotype" w:eastAsia="Arial Unicode MS" w:hAnsi="Palatino Linotype" w:cs="Arial"/>
        </w:rPr>
        <w:t>, de informar al Órgano Superior de Fiscalización del Estado de México</w:t>
      </w:r>
      <w:r w:rsidR="00E75914" w:rsidRPr="00DD59EA">
        <w:rPr>
          <w:rFonts w:ascii="Palatino Linotype" w:eastAsia="Arial Unicode MS" w:hAnsi="Palatino Linotype" w:cs="Arial"/>
        </w:rPr>
        <w:t xml:space="preserve"> (OFEM),</w:t>
      </w:r>
      <w:r w:rsidRPr="00DD59EA">
        <w:rPr>
          <w:rFonts w:ascii="Palatino Linotype" w:eastAsia="Arial Unicode MS" w:hAnsi="Palatino Linotype" w:cs="Arial"/>
        </w:rPr>
        <w:t xml:space="preserve"> todo lo relacionado con información contable, presupuestal y financiera, en los términos siguientes:</w:t>
      </w:r>
    </w:p>
    <w:p w:rsidR="009753F7" w:rsidRPr="00DD59EA" w:rsidRDefault="009753F7" w:rsidP="009753F7">
      <w:pPr>
        <w:spacing w:before="120" w:after="120"/>
        <w:ind w:left="851" w:right="851"/>
        <w:jc w:val="both"/>
        <w:rPr>
          <w:rFonts w:ascii="Palatino Linotype" w:eastAsia="Calibri" w:hAnsi="Palatino Linotype" w:cs="Arial"/>
          <w:i/>
          <w:sz w:val="22"/>
          <w:szCs w:val="22"/>
        </w:rPr>
      </w:pPr>
      <w:r w:rsidRPr="00DD59EA">
        <w:rPr>
          <w:rFonts w:ascii="Palatino Linotype" w:eastAsia="Calibri" w:hAnsi="Palatino Linotype" w:cs="Arial"/>
          <w:i/>
          <w:sz w:val="22"/>
          <w:szCs w:val="22"/>
        </w:rPr>
        <w:t>“</w:t>
      </w:r>
      <w:r w:rsidRPr="00DD59EA">
        <w:rPr>
          <w:rFonts w:ascii="Palatino Linotype" w:eastAsia="Calibri" w:hAnsi="Palatino Linotype" w:cs="Arial"/>
          <w:b/>
          <w:i/>
          <w:sz w:val="22"/>
          <w:szCs w:val="22"/>
        </w:rPr>
        <w:t>Artículo 350.-</w:t>
      </w:r>
      <w:r w:rsidRPr="00DD59EA">
        <w:rPr>
          <w:rFonts w:ascii="Palatino Linotype" w:eastAsia="Calibri" w:hAnsi="Palatino Linotype" w:cs="Arial"/>
          <w:i/>
          <w:sz w:val="22"/>
          <w:szCs w:val="22"/>
        </w:rPr>
        <w:t xml:space="preserve"> Mensualmente </w:t>
      </w:r>
      <w:r w:rsidRPr="00DD59EA">
        <w:rPr>
          <w:rFonts w:ascii="Palatino Linotype" w:eastAsia="Calibri" w:hAnsi="Palatino Linotype" w:cs="Arial"/>
          <w:b/>
          <w:i/>
          <w:sz w:val="22"/>
          <w:szCs w:val="22"/>
        </w:rPr>
        <w:t>dentro de los primeros veinte días hábiles</w:t>
      </w:r>
      <w:r w:rsidRPr="00DD59EA">
        <w:rPr>
          <w:rFonts w:ascii="Palatino Linotype" w:eastAsia="Calibri" w:hAnsi="Palatino Linotype" w:cs="Arial"/>
          <w:i/>
          <w:sz w:val="22"/>
          <w:szCs w:val="22"/>
        </w:rPr>
        <w:t xml:space="preserve">, la </w:t>
      </w:r>
      <w:r w:rsidRPr="00DD59EA">
        <w:rPr>
          <w:rFonts w:ascii="Palatino Linotype" w:eastAsia="Calibri" w:hAnsi="Palatino Linotype" w:cs="Arial"/>
          <w:b/>
          <w:i/>
          <w:sz w:val="22"/>
          <w:szCs w:val="22"/>
        </w:rPr>
        <w:t>Secretaría</w:t>
      </w:r>
      <w:r w:rsidRPr="00DD59EA">
        <w:rPr>
          <w:rFonts w:ascii="Palatino Linotype" w:eastAsia="Calibri" w:hAnsi="Palatino Linotype" w:cs="Arial"/>
          <w:i/>
          <w:sz w:val="22"/>
          <w:szCs w:val="22"/>
        </w:rPr>
        <w:t xml:space="preserve"> y las Tesorerías</w:t>
      </w:r>
      <w:r w:rsidRPr="00DD59EA">
        <w:rPr>
          <w:rFonts w:ascii="Palatino Linotype" w:eastAsia="Calibri" w:hAnsi="Palatino Linotype" w:cs="Arial"/>
          <w:b/>
          <w:i/>
          <w:sz w:val="22"/>
          <w:szCs w:val="22"/>
        </w:rPr>
        <w:t>, enviarán para su análisis y evaluación</w:t>
      </w:r>
      <w:r w:rsidRPr="00DD59EA">
        <w:rPr>
          <w:rFonts w:ascii="Palatino Linotype" w:eastAsia="Calibri" w:hAnsi="Palatino Linotype" w:cs="Arial"/>
          <w:i/>
          <w:sz w:val="22"/>
          <w:szCs w:val="22"/>
        </w:rPr>
        <w:t xml:space="preserve"> </w:t>
      </w:r>
      <w:r w:rsidRPr="00DD59EA">
        <w:rPr>
          <w:rFonts w:ascii="Palatino Linotype" w:eastAsia="Calibri" w:hAnsi="Palatino Linotype" w:cs="Arial"/>
          <w:b/>
          <w:i/>
          <w:sz w:val="22"/>
          <w:szCs w:val="22"/>
        </w:rPr>
        <w:t>al Órgano Superior de Fiscalización del Estado de México</w:t>
      </w:r>
      <w:r w:rsidRPr="00DD59EA">
        <w:rPr>
          <w:rFonts w:ascii="Palatino Linotype" w:eastAsia="Calibri" w:hAnsi="Palatino Linotype" w:cs="Arial"/>
          <w:i/>
          <w:sz w:val="22"/>
          <w:szCs w:val="22"/>
        </w:rPr>
        <w:t>, la siguiente información:</w:t>
      </w:r>
    </w:p>
    <w:p w:rsidR="009753F7" w:rsidRPr="00DD59EA" w:rsidRDefault="009753F7" w:rsidP="009753F7">
      <w:pPr>
        <w:spacing w:before="120" w:after="120"/>
        <w:ind w:left="851" w:right="851"/>
        <w:jc w:val="both"/>
        <w:rPr>
          <w:rFonts w:ascii="Palatino Linotype" w:eastAsia="Calibri" w:hAnsi="Palatino Linotype" w:cs="Arial"/>
          <w:i/>
          <w:sz w:val="22"/>
          <w:szCs w:val="22"/>
        </w:rPr>
      </w:pPr>
      <w:r w:rsidRPr="00DD59EA">
        <w:rPr>
          <w:rFonts w:ascii="Palatino Linotype" w:eastAsia="Calibri" w:hAnsi="Palatino Linotype" w:cs="Arial"/>
          <w:i/>
          <w:sz w:val="22"/>
          <w:szCs w:val="22"/>
        </w:rPr>
        <w:t>I. Información patrimonial.</w:t>
      </w:r>
    </w:p>
    <w:p w:rsidR="009753F7" w:rsidRPr="00DD59EA" w:rsidRDefault="009753F7" w:rsidP="009753F7">
      <w:pPr>
        <w:spacing w:before="120" w:after="120"/>
        <w:ind w:left="851" w:right="851"/>
        <w:jc w:val="both"/>
        <w:rPr>
          <w:rFonts w:ascii="Palatino Linotype" w:eastAsia="Calibri" w:hAnsi="Palatino Linotype" w:cs="Arial"/>
          <w:i/>
          <w:sz w:val="22"/>
          <w:szCs w:val="22"/>
        </w:rPr>
      </w:pPr>
      <w:r w:rsidRPr="00DD59EA">
        <w:rPr>
          <w:rFonts w:ascii="Palatino Linotype" w:eastAsia="Calibri" w:hAnsi="Palatino Linotype" w:cs="Arial"/>
          <w:i/>
          <w:sz w:val="22"/>
          <w:szCs w:val="22"/>
        </w:rPr>
        <w:lastRenderedPageBreak/>
        <w:t>II. Información presupuestal.</w:t>
      </w:r>
    </w:p>
    <w:p w:rsidR="009753F7" w:rsidRPr="00DD59EA" w:rsidRDefault="009753F7" w:rsidP="009753F7">
      <w:pPr>
        <w:spacing w:before="120" w:after="120"/>
        <w:ind w:left="851" w:right="851"/>
        <w:jc w:val="both"/>
        <w:rPr>
          <w:rFonts w:ascii="Palatino Linotype" w:eastAsia="Calibri" w:hAnsi="Palatino Linotype" w:cs="Arial"/>
          <w:i/>
          <w:sz w:val="22"/>
          <w:szCs w:val="22"/>
        </w:rPr>
      </w:pPr>
      <w:r w:rsidRPr="00DD59EA">
        <w:rPr>
          <w:rFonts w:ascii="Palatino Linotype" w:eastAsia="Calibri" w:hAnsi="Palatino Linotype" w:cs="Arial"/>
          <w:i/>
          <w:sz w:val="22"/>
          <w:szCs w:val="22"/>
        </w:rPr>
        <w:t>III. Información de la obra pública.</w:t>
      </w:r>
    </w:p>
    <w:p w:rsidR="009753F7" w:rsidRPr="00DD59EA" w:rsidRDefault="009753F7" w:rsidP="009753F7">
      <w:pPr>
        <w:spacing w:before="120" w:after="120"/>
        <w:ind w:left="851" w:right="851"/>
        <w:jc w:val="both"/>
        <w:rPr>
          <w:rFonts w:ascii="Palatino Linotype" w:eastAsia="Calibri" w:hAnsi="Palatino Linotype" w:cs="Arial"/>
          <w:b/>
          <w:i/>
          <w:sz w:val="22"/>
          <w:szCs w:val="22"/>
        </w:rPr>
      </w:pPr>
      <w:r w:rsidRPr="00DD59EA">
        <w:rPr>
          <w:rFonts w:ascii="Palatino Linotype" w:eastAsia="Calibri" w:hAnsi="Palatino Linotype" w:cs="Arial"/>
          <w:b/>
          <w:i/>
          <w:sz w:val="22"/>
          <w:szCs w:val="22"/>
        </w:rPr>
        <w:t>IV. Información de nómina.”</w:t>
      </w:r>
    </w:p>
    <w:p w:rsidR="009753F7" w:rsidRPr="00DD59EA" w:rsidRDefault="009753F7" w:rsidP="009753F7">
      <w:pPr>
        <w:spacing w:before="240" w:line="360" w:lineRule="auto"/>
        <w:ind w:right="49"/>
        <w:jc w:val="both"/>
        <w:rPr>
          <w:rFonts w:ascii="Palatino Linotype" w:hAnsi="Palatino Linotype"/>
        </w:rPr>
      </w:pPr>
      <w:r w:rsidRPr="00DD59EA">
        <w:rPr>
          <w:rFonts w:ascii="Palatino Linotype" w:eastAsia="Calibri" w:hAnsi="Palatino Linotype" w:cs="Arial"/>
        </w:rPr>
        <w:t xml:space="preserve">Información que debe presentarse conforme a lo dispuesto por los </w:t>
      </w:r>
      <w:r w:rsidRPr="00DD59EA">
        <w:rPr>
          <w:rFonts w:ascii="Palatino Linotype" w:eastAsia="Calibri" w:hAnsi="Palatino Linotype" w:cs="Arial"/>
          <w:i/>
        </w:rPr>
        <w:t>Lineamientos para la Elaboración y Presentación del Informe Mensual de los poderes Públicos, Organismos Auxiliares y Órganos Autónomos, del Estado de México,</w:t>
      </w:r>
      <w:r w:rsidRPr="00DD59EA">
        <w:rPr>
          <w:rFonts w:ascii="Palatino Linotype" w:eastAsia="Calibri" w:hAnsi="Palatino Linotype" w:cs="Arial"/>
        </w:rPr>
        <w:t xml:space="preserve"> emitidos por</w:t>
      </w:r>
      <w:r w:rsidR="00E75914" w:rsidRPr="00DD59EA">
        <w:rPr>
          <w:rFonts w:ascii="Palatino Linotype" w:eastAsia="Calibri" w:hAnsi="Palatino Linotype" w:cs="Arial"/>
        </w:rPr>
        <w:t xml:space="preserve"> el</w:t>
      </w:r>
      <w:r w:rsidRPr="00DD59EA">
        <w:rPr>
          <w:rFonts w:ascii="Palatino Linotype" w:eastAsia="Calibri" w:hAnsi="Palatino Linotype" w:cs="Arial"/>
        </w:rPr>
        <w:t xml:space="preserve"> OSFEM en cada ejercicio fiscal y que se encuentran disponibles en su sitio de internet, con el objetivo de establecer</w:t>
      </w:r>
      <w:r w:rsidRPr="00DD59EA">
        <w:rPr>
          <w:rFonts w:ascii="Palatino Linotype" w:hAnsi="Palatino Linotype"/>
        </w:rPr>
        <w:t xml:space="preserve"> las especificaciones necesarias que las entidades fiscalizables deben cumplir para la elaboración y presentación de los informes mensuales, cuyo ámbito de aplicación es el siguiente:</w:t>
      </w:r>
    </w:p>
    <w:p w:rsidR="009753F7" w:rsidRPr="00DD59EA" w:rsidRDefault="009753F7" w:rsidP="009753F7">
      <w:pPr>
        <w:pStyle w:val="Prrafodelista"/>
        <w:numPr>
          <w:ilvl w:val="0"/>
          <w:numId w:val="9"/>
        </w:numPr>
        <w:spacing w:before="240" w:line="360" w:lineRule="auto"/>
        <w:ind w:right="49"/>
        <w:jc w:val="both"/>
        <w:rPr>
          <w:rFonts w:ascii="Palatino Linotype" w:hAnsi="Palatino Linotype"/>
        </w:rPr>
      </w:pPr>
      <w:r w:rsidRPr="00DD59EA">
        <w:rPr>
          <w:rFonts w:ascii="Palatino Linotype" w:hAnsi="Palatino Linotype"/>
        </w:rPr>
        <w:t xml:space="preserve">Poderes Públicos del Estado: Los poderes Ejecutivo, Legislativo y Judicial comprendiendo sus unidades y dependencias; </w:t>
      </w:r>
    </w:p>
    <w:p w:rsidR="009753F7" w:rsidRPr="00DD59EA" w:rsidRDefault="009753F7" w:rsidP="009753F7">
      <w:pPr>
        <w:pStyle w:val="Prrafodelista"/>
        <w:numPr>
          <w:ilvl w:val="0"/>
          <w:numId w:val="9"/>
        </w:numPr>
        <w:spacing w:before="240" w:line="360" w:lineRule="auto"/>
        <w:ind w:right="49"/>
        <w:jc w:val="both"/>
        <w:rPr>
          <w:rFonts w:ascii="Palatino Linotype" w:hAnsi="Palatino Linotype"/>
        </w:rPr>
      </w:pPr>
      <w:r w:rsidRPr="00DD59EA">
        <w:rPr>
          <w:rFonts w:ascii="Palatino Linotype" w:hAnsi="Palatino Linotype"/>
        </w:rPr>
        <w:t>Órganos Autónomos: A los órganos que por disposición constitucional estén dotados de autonomía;</w:t>
      </w:r>
    </w:p>
    <w:p w:rsidR="009753F7" w:rsidRPr="00DD59EA" w:rsidRDefault="009753F7" w:rsidP="009753F7">
      <w:pPr>
        <w:pStyle w:val="Prrafodelista"/>
        <w:numPr>
          <w:ilvl w:val="0"/>
          <w:numId w:val="9"/>
        </w:numPr>
        <w:spacing w:before="240" w:line="360" w:lineRule="auto"/>
        <w:ind w:right="49"/>
        <w:jc w:val="both"/>
        <w:rPr>
          <w:rFonts w:ascii="Palatino Linotype" w:hAnsi="Palatino Linotype"/>
        </w:rPr>
      </w:pPr>
      <w:r w:rsidRPr="00DD59EA">
        <w:rPr>
          <w:rFonts w:ascii="Palatino Linotype" w:hAnsi="Palatino Linotype"/>
        </w:rPr>
        <w:t xml:space="preserve">Organismos Auxiliares: A los </w:t>
      </w:r>
      <w:r w:rsidRPr="00DD59EA">
        <w:rPr>
          <w:rFonts w:ascii="Palatino Linotype" w:hAnsi="Palatino Linotype"/>
          <w:i/>
        </w:rPr>
        <w:t>organismos públicos descentralizados</w:t>
      </w:r>
      <w:r w:rsidRPr="00DD59EA">
        <w:rPr>
          <w:rFonts w:ascii="Palatino Linotype" w:hAnsi="Palatino Linotype"/>
        </w:rPr>
        <w:t>, empresas de participación estatal y fideicomisos públicos de la administración pública estatal.</w:t>
      </w:r>
    </w:p>
    <w:p w:rsidR="009753F7" w:rsidRPr="00DD59EA" w:rsidRDefault="009753F7" w:rsidP="009753F7">
      <w:pPr>
        <w:spacing w:before="240" w:line="360" w:lineRule="auto"/>
        <w:ind w:right="49"/>
        <w:jc w:val="both"/>
        <w:rPr>
          <w:rFonts w:ascii="Palatino Linotype" w:hAnsi="Palatino Linotype"/>
        </w:rPr>
      </w:pPr>
      <w:r w:rsidRPr="00DD59EA">
        <w:rPr>
          <w:rFonts w:ascii="Palatino Linotype" w:hAnsi="Palatino Linotype"/>
        </w:rPr>
        <w:t>Dichos informes</w:t>
      </w:r>
      <w:r w:rsidR="00E75914" w:rsidRPr="00DD59EA">
        <w:rPr>
          <w:rFonts w:ascii="Palatino Linotype" w:hAnsi="Palatino Linotype"/>
        </w:rPr>
        <w:t>,</w:t>
      </w:r>
      <w:r w:rsidRPr="00DD59EA">
        <w:rPr>
          <w:rFonts w:ascii="Palatino Linotype" w:hAnsi="Palatino Linotype"/>
        </w:rPr>
        <w:t xml:space="preserve"> deben ser entregados en formato digital, es decir, a través de un DVD o CD, de conformidad con los Lineamientos citados, emitidos para el ejercicio fiscal 2018, mismos que deben contener las carpetas siguientes:</w:t>
      </w:r>
    </w:p>
    <w:p w:rsidR="00E639F5" w:rsidRPr="00DD59EA" w:rsidRDefault="009753F7" w:rsidP="009753F7">
      <w:pPr>
        <w:spacing w:before="100" w:beforeAutospacing="1" w:after="100" w:afterAutospacing="1" w:line="360" w:lineRule="auto"/>
        <w:jc w:val="both"/>
        <w:rPr>
          <w:rFonts w:ascii="Palatino Linotype" w:hAnsi="Palatino Linotype" w:cs="Arial"/>
          <w:b/>
          <w:lang w:eastAsia="es-MX"/>
        </w:rPr>
      </w:pPr>
      <w:r w:rsidRPr="00DD59EA">
        <w:rPr>
          <w:noProof/>
          <w:lang w:eastAsia="es-MX"/>
        </w:rPr>
        <w:lastRenderedPageBreak/>
        <w:drawing>
          <wp:inline distT="0" distB="0" distL="0" distR="0" wp14:anchorId="6B578963" wp14:editId="183E80B8">
            <wp:extent cx="5544919" cy="1432384"/>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8291" t="41580" r="26513" b="36765"/>
                    <a:stretch/>
                  </pic:blipFill>
                  <pic:spPr bwMode="auto">
                    <a:xfrm>
                      <a:off x="0" y="0"/>
                      <a:ext cx="5565969" cy="1437822"/>
                    </a:xfrm>
                    <a:prstGeom prst="rect">
                      <a:avLst/>
                    </a:prstGeom>
                    <a:ln>
                      <a:noFill/>
                    </a:ln>
                    <a:extLst>
                      <a:ext uri="{53640926-AAD7-44D8-BBD7-CCE9431645EC}">
                        <a14:shadowObscured xmlns:a14="http://schemas.microsoft.com/office/drawing/2010/main"/>
                      </a:ext>
                    </a:extLst>
                  </pic:spPr>
                </pic:pic>
              </a:graphicData>
            </a:graphic>
          </wp:inline>
        </w:drawing>
      </w:r>
    </w:p>
    <w:p w:rsidR="009753F7" w:rsidRPr="00DD59EA" w:rsidRDefault="009753F7" w:rsidP="009753F7">
      <w:pPr>
        <w:spacing w:before="100" w:beforeAutospacing="1" w:after="100" w:afterAutospacing="1" w:line="360" w:lineRule="auto"/>
        <w:ind w:right="51"/>
        <w:jc w:val="both"/>
        <w:rPr>
          <w:rFonts w:ascii="Palatino Linotype" w:eastAsia="Calibri" w:hAnsi="Palatino Linotype" w:cs="Arial"/>
        </w:rPr>
      </w:pPr>
      <w:r w:rsidRPr="00DD59EA">
        <w:rPr>
          <w:rFonts w:ascii="Palatino Linotype" w:eastAsia="Calibri" w:hAnsi="Palatino Linotype" w:cs="Arial"/>
        </w:rPr>
        <w:t>Al respecto, la carpeta número 3 “Anexos”, contiene la siguiente información:</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a) Balanza de Comprobación Detallada y a Nivel Mayor (PDF y Excel, reporte del sistema contable).</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b) Diario General de Pólizas (PDF)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c) Anexos al Estado de Situación Financiera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d) Notas a los Estados Financieros (Formato 1)</w:t>
      </w:r>
      <w:proofErr w:type="gramStart"/>
      <w:r w:rsidRPr="00DD59EA">
        <w:rPr>
          <w:rFonts w:ascii="Palatino Linotype" w:hAnsi="Palatino Linotype"/>
          <w:szCs w:val="22"/>
        </w:rPr>
        <w:t>.(</w:t>
      </w:r>
      <w:proofErr w:type="gramEnd"/>
      <w:r w:rsidRPr="00DD59EA">
        <w:rPr>
          <w:rFonts w:ascii="Palatino Linotype" w:hAnsi="Palatino Linotype"/>
          <w:szCs w:val="22"/>
        </w:rPr>
        <w:t>PDF)</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e) Análisis de Antigüedad de Saldos “Deudores y Cuentas por Cobrar” (Formato 2)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f) Anticipo a Proveedores (Formato 3)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g) Anticipo a Contratistas (Formato 4)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h) Programa Anual de Obra (Marzo) (PDF).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i) Informe Mensual de Obra (Formato 5)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j) Informe Mensual de Acciones (Formato 5A)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k) Formato de Plazas Ocupadas (Formato 6)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l) Copia del oficio de las plazas autorizadas por la Secretaría de Finanzas.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m) Carátula de la nómina de cada quincena emitida por el sistema la cual deberá contener el número de registros (empleados) y neto pagado.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 xml:space="preserve">n) Relación del personal eventual o por contrato de honorarios profesionales.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lastRenderedPageBreak/>
        <w:t xml:space="preserve">o) Acuse bancario de la dispersión de la nómina que contenga el número de registros pagados y el importe. </w:t>
      </w:r>
    </w:p>
    <w:p w:rsidR="009753F7" w:rsidRPr="00DD59EA" w:rsidRDefault="009753F7" w:rsidP="009753F7">
      <w:pPr>
        <w:spacing w:line="360" w:lineRule="auto"/>
        <w:ind w:left="284" w:right="51"/>
        <w:jc w:val="both"/>
        <w:rPr>
          <w:rFonts w:ascii="Palatino Linotype" w:hAnsi="Palatino Linotype"/>
          <w:b/>
          <w:szCs w:val="22"/>
        </w:rPr>
      </w:pPr>
      <w:r w:rsidRPr="00DD59EA">
        <w:rPr>
          <w:rFonts w:ascii="Palatino Linotype" w:hAnsi="Palatino Linotype"/>
          <w:szCs w:val="22"/>
        </w:rPr>
        <w:t xml:space="preserve">p) </w:t>
      </w:r>
      <w:r w:rsidRPr="00DD59EA">
        <w:rPr>
          <w:rFonts w:ascii="Palatino Linotype" w:hAnsi="Palatino Linotype"/>
          <w:b/>
          <w:szCs w:val="22"/>
        </w:rPr>
        <w:t xml:space="preserve">Nóminas detalladas, es decir el desglose de las percepciones y deducciones de cada uno de los empleados del organismo (Formato 7) (PDF y Excel). </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q) Copia del tabulador completo de sueldos autorizados por el Gobierno del Estado de México.</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r) Formato de Depreciación (Formato 8) (PDF y Excel).</w:t>
      </w:r>
    </w:p>
    <w:p w:rsidR="009753F7" w:rsidRPr="00DD59EA" w:rsidRDefault="009753F7" w:rsidP="009753F7">
      <w:pPr>
        <w:spacing w:line="360" w:lineRule="auto"/>
        <w:ind w:left="284" w:right="51"/>
        <w:jc w:val="both"/>
        <w:rPr>
          <w:rFonts w:ascii="Palatino Linotype" w:hAnsi="Palatino Linotype"/>
          <w:szCs w:val="22"/>
        </w:rPr>
      </w:pPr>
      <w:r w:rsidRPr="00DD59EA">
        <w:rPr>
          <w:rFonts w:ascii="Palatino Linotype" w:hAnsi="Palatino Linotype"/>
          <w:szCs w:val="22"/>
        </w:rPr>
        <w:t>s) Catálogo de Cuentas (Archivo plano de texto) (.</w:t>
      </w:r>
      <w:proofErr w:type="spellStart"/>
      <w:r w:rsidRPr="00DD59EA">
        <w:rPr>
          <w:rFonts w:ascii="Palatino Linotype" w:hAnsi="Palatino Linotype"/>
          <w:szCs w:val="22"/>
        </w:rPr>
        <w:t>txt</w:t>
      </w:r>
      <w:proofErr w:type="spellEnd"/>
      <w:r w:rsidRPr="00DD59EA">
        <w:rPr>
          <w:rFonts w:ascii="Palatino Linotype" w:hAnsi="Palatino Linotype"/>
          <w:szCs w:val="22"/>
        </w:rPr>
        <w:t>).</w:t>
      </w:r>
    </w:p>
    <w:p w:rsidR="009753F7" w:rsidRPr="00DD59EA" w:rsidRDefault="009753F7" w:rsidP="009753F7">
      <w:pPr>
        <w:spacing w:line="360" w:lineRule="auto"/>
        <w:ind w:left="284" w:right="51"/>
        <w:jc w:val="both"/>
        <w:rPr>
          <w:rFonts w:ascii="Palatino Linotype" w:eastAsia="Calibri" w:hAnsi="Palatino Linotype" w:cs="Arial"/>
          <w:szCs w:val="22"/>
        </w:rPr>
      </w:pPr>
      <w:r w:rsidRPr="00DD59EA">
        <w:rPr>
          <w:rFonts w:ascii="Palatino Linotype" w:hAnsi="Palatino Linotype"/>
          <w:szCs w:val="22"/>
        </w:rPr>
        <w:t>t) Catálogo de Pólizas (Archivo plano de texto) (.</w:t>
      </w:r>
      <w:proofErr w:type="spellStart"/>
      <w:r w:rsidRPr="00DD59EA">
        <w:rPr>
          <w:rFonts w:ascii="Palatino Linotype" w:hAnsi="Palatino Linotype"/>
          <w:szCs w:val="22"/>
        </w:rPr>
        <w:t>txt</w:t>
      </w:r>
      <w:proofErr w:type="spellEnd"/>
      <w:r w:rsidRPr="00DD59EA">
        <w:rPr>
          <w:rFonts w:ascii="Palatino Linotype" w:hAnsi="Palatino Linotype"/>
          <w:szCs w:val="22"/>
        </w:rPr>
        <w:t>)</w:t>
      </w:r>
    </w:p>
    <w:p w:rsidR="009753F7" w:rsidRPr="00DD59EA" w:rsidRDefault="009753F7" w:rsidP="009753F7">
      <w:pPr>
        <w:spacing w:before="240" w:line="360" w:lineRule="auto"/>
        <w:ind w:right="49"/>
        <w:jc w:val="both"/>
        <w:rPr>
          <w:rFonts w:ascii="Palatino Linotype" w:eastAsia="Calibri" w:hAnsi="Palatino Linotype" w:cs="Arial"/>
        </w:rPr>
      </w:pPr>
      <w:r w:rsidRPr="00DD59EA">
        <w:rPr>
          <w:rFonts w:ascii="Palatino Linotype" w:eastAsia="Calibri" w:hAnsi="Palatino Linotype" w:cs="Arial"/>
        </w:rPr>
        <w:t xml:space="preserve">En ese tenor, se advierte </w:t>
      </w:r>
      <w:r w:rsidR="00E75914" w:rsidRPr="00DD59EA">
        <w:rPr>
          <w:rFonts w:ascii="Palatino Linotype" w:eastAsia="Calibri" w:hAnsi="Palatino Linotype" w:cs="Arial"/>
        </w:rPr>
        <w:t xml:space="preserve">que </w:t>
      </w:r>
      <w:r w:rsidRPr="00DD59EA">
        <w:rPr>
          <w:rFonts w:ascii="Palatino Linotype" w:eastAsia="Calibri" w:hAnsi="Palatino Linotype" w:cs="Arial"/>
        </w:rPr>
        <w:t xml:space="preserve">a efecto de cumplir con sus obligaciones de fiscalización, </w:t>
      </w:r>
      <w:r w:rsidRPr="00DD59EA">
        <w:rPr>
          <w:rFonts w:ascii="Palatino Linotype" w:eastAsia="Calibri" w:hAnsi="Palatino Linotype" w:cs="Arial"/>
          <w:b/>
        </w:rPr>
        <w:t>EL SUJETO OBLIGADO</w:t>
      </w:r>
      <w:r w:rsidRPr="00DD59EA">
        <w:rPr>
          <w:rFonts w:ascii="Palatino Linotype" w:eastAsia="Calibri" w:hAnsi="Palatino Linotype" w:cs="Arial"/>
        </w:rPr>
        <w:t xml:space="preserve"> envía mensualmente al Órgano Superior de Fiscalización, como parte integrante de la carpeta 3 “Anexos”, la información de nómina, a través del formato 7, que contiene las </w:t>
      </w:r>
      <w:r w:rsidRPr="00DD59EA">
        <w:rPr>
          <w:rFonts w:ascii="Palatino Linotype" w:eastAsia="Calibri" w:hAnsi="Palatino Linotype" w:cs="Arial"/>
          <w:i/>
        </w:rPr>
        <w:t>nóminas detalladas</w:t>
      </w:r>
      <w:r w:rsidRPr="00DD59EA">
        <w:rPr>
          <w:rFonts w:ascii="Palatino Linotype" w:eastAsia="Calibri" w:hAnsi="Palatino Linotype" w:cs="Arial"/>
        </w:rPr>
        <w:t xml:space="preserve"> de los servidores públicos que se encuentran adscritos a su organización, documento que contiene, entre otros datos, </w:t>
      </w:r>
      <w:r w:rsidR="00E75914" w:rsidRPr="00DD59EA">
        <w:rPr>
          <w:rFonts w:ascii="Palatino Linotype" w:eastAsia="Calibri" w:hAnsi="Palatino Linotype" w:cs="Arial"/>
        </w:rPr>
        <w:t xml:space="preserve">el periodo de la quincena que se reporta, nombre completo, </w:t>
      </w:r>
      <w:r w:rsidRPr="00DD59EA">
        <w:rPr>
          <w:rFonts w:ascii="Palatino Linotype" w:eastAsia="Calibri" w:hAnsi="Palatino Linotype" w:cs="Arial"/>
        </w:rPr>
        <w:t>sueldo bruto, las deducciones y el sueldo neto de los servidores</w:t>
      </w:r>
      <w:r w:rsidR="00E75914" w:rsidRPr="00DD59EA">
        <w:rPr>
          <w:rFonts w:ascii="Palatino Linotype" w:eastAsia="Calibri" w:hAnsi="Palatino Linotype" w:cs="Arial"/>
        </w:rPr>
        <w:t xml:space="preserve"> públicos</w:t>
      </w:r>
      <w:r w:rsidRPr="00DD59EA">
        <w:rPr>
          <w:rFonts w:ascii="Palatino Linotype" w:eastAsia="Calibri" w:hAnsi="Palatino Linotype" w:cs="Arial"/>
        </w:rPr>
        <w:t>, como se observa a continuación:</w:t>
      </w:r>
    </w:p>
    <w:p w:rsidR="00E65421" w:rsidRPr="00DD59EA" w:rsidRDefault="00D04D14" w:rsidP="00E65421">
      <w:pPr>
        <w:spacing w:before="240" w:line="360" w:lineRule="auto"/>
        <w:ind w:right="49"/>
        <w:jc w:val="center"/>
        <w:rPr>
          <w:rFonts w:ascii="Palatino Linotype" w:eastAsia="Calibri" w:hAnsi="Palatino Linotype" w:cs="Arial"/>
        </w:rPr>
      </w:pPr>
      <w:r w:rsidRPr="00DD59EA">
        <w:rPr>
          <w:noProof/>
          <w:lang w:eastAsia="es-MX"/>
        </w:rPr>
        <w:lastRenderedPageBreak/>
        <mc:AlternateContent>
          <mc:Choice Requires="wps">
            <w:drawing>
              <wp:anchor distT="0" distB="0" distL="114300" distR="114300" simplePos="0" relativeHeight="251678720" behindDoc="0" locked="0" layoutInCell="1" allowOverlap="1">
                <wp:simplePos x="0" y="0"/>
                <wp:positionH relativeFrom="column">
                  <wp:posOffset>123976</wp:posOffset>
                </wp:positionH>
                <wp:positionV relativeFrom="paragraph">
                  <wp:posOffset>4310085</wp:posOffset>
                </wp:positionV>
                <wp:extent cx="5631255" cy="2580237"/>
                <wp:effectExtent l="0" t="0" r="26670" b="29845"/>
                <wp:wrapNone/>
                <wp:docPr id="47" name="Conector recto 47"/>
                <wp:cNvGraphicFramePr/>
                <a:graphic xmlns:a="http://schemas.openxmlformats.org/drawingml/2006/main">
                  <a:graphicData uri="http://schemas.microsoft.com/office/word/2010/wordprocessingShape">
                    <wps:wsp>
                      <wps:cNvCnPr/>
                      <wps:spPr>
                        <a:xfrm>
                          <a:off x="0" y="0"/>
                          <a:ext cx="5631255" cy="2580237"/>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167618" id="Conector recto 4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339.4pt" to="453.15pt,5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" strokecolor="#5b9bd5 [3204]" strokeweight="1.5pt">
                <v:stroke joinstyle="miter"/>
              </v:line>
            </w:pict>
          </mc:Fallback>
        </mc:AlternateContent>
      </w:r>
      <w:r w:rsidRPr="00DD59EA">
        <w:rPr>
          <w:noProof/>
          <w:lang w:eastAsia="es-MX"/>
        </w:rPr>
        <mc:AlternateContent>
          <mc:Choice Requires="wps">
            <w:drawing>
              <wp:anchor distT="0" distB="0" distL="114300" distR="114300" simplePos="0" relativeHeight="251676672" behindDoc="0" locked="0" layoutInCell="1" allowOverlap="1" wp14:anchorId="122E839B" wp14:editId="1D7B8948">
                <wp:simplePos x="0" y="0"/>
                <wp:positionH relativeFrom="column">
                  <wp:posOffset>2283227</wp:posOffset>
                </wp:positionH>
                <wp:positionV relativeFrom="paragraph">
                  <wp:posOffset>1874702</wp:posOffset>
                </wp:positionV>
                <wp:extent cx="1108710" cy="466254"/>
                <wp:effectExtent l="0" t="0" r="15240" b="10160"/>
                <wp:wrapNone/>
                <wp:docPr id="45" name="Rectángulo 45"/>
                <wp:cNvGraphicFramePr/>
                <a:graphic xmlns:a="http://schemas.openxmlformats.org/drawingml/2006/main">
                  <a:graphicData uri="http://schemas.microsoft.com/office/word/2010/wordprocessingShape">
                    <wps:wsp>
                      <wps:cNvSpPr/>
                      <wps:spPr>
                        <a:xfrm>
                          <a:off x="0" y="0"/>
                          <a:ext cx="1108710" cy="466254"/>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D9F108" id="Rectángulo 45" o:spid="_x0000_s1026" style="position:absolute;margin-left:179.8pt;margin-top:147.6pt;width:87.3pt;height:36.7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" filled="f" strokecolor="#1f4d78 [1604]" strokeweight="1.5pt"/>
            </w:pict>
          </mc:Fallback>
        </mc:AlternateContent>
      </w:r>
      <w:r w:rsidR="00E75914" w:rsidRPr="00DD59EA">
        <w:rPr>
          <w:noProof/>
          <w:lang w:eastAsia="es-MX"/>
        </w:rPr>
        <mc:AlternateContent>
          <mc:Choice Requires="wps">
            <w:drawing>
              <wp:anchor distT="0" distB="0" distL="114300" distR="114300" simplePos="0" relativeHeight="251677696" behindDoc="0" locked="0" layoutInCell="1" allowOverlap="1" wp14:anchorId="1BB815A3" wp14:editId="0022D121">
                <wp:simplePos x="0" y="0"/>
                <wp:positionH relativeFrom="column">
                  <wp:posOffset>3795156</wp:posOffset>
                </wp:positionH>
                <wp:positionV relativeFrom="paragraph">
                  <wp:posOffset>1897336</wp:posOffset>
                </wp:positionV>
                <wp:extent cx="1330859" cy="457200"/>
                <wp:effectExtent l="0" t="0" r="22225" b="19050"/>
                <wp:wrapNone/>
                <wp:docPr id="46" name="Rectángulo 46"/>
                <wp:cNvGraphicFramePr/>
                <a:graphic xmlns:a="http://schemas.openxmlformats.org/drawingml/2006/main">
                  <a:graphicData uri="http://schemas.microsoft.com/office/word/2010/wordprocessingShape">
                    <wps:wsp>
                      <wps:cNvSpPr/>
                      <wps:spPr>
                        <a:xfrm>
                          <a:off x="0" y="0"/>
                          <a:ext cx="1330859" cy="4572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FB09FE" id="Rectángulo 46" o:spid="_x0000_s1026" style="position:absolute;margin-left:298.85pt;margin-top:149.4pt;width:104.8pt;height:3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" filled="f" strokecolor="#1f4d78 [1604]" strokeweight="1.5pt"/>
            </w:pict>
          </mc:Fallback>
        </mc:AlternateContent>
      </w:r>
      <w:r w:rsidR="00E75914" w:rsidRPr="00DD59EA">
        <w:rPr>
          <w:noProof/>
          <w:lang w:eastAsia="es-MX"/>
        </w:rPr>
        <mc:AlternateContent>
          <mc:Choice Requires="wps">
            <w:drawing>
              <wp:anchor distT="0" distB="0" distL="114300" distR="114300" simplePos="0" relativeHeight="251675648" behindDoc="0" locked="0" layoutInCell="1" allowOverlap="1">
                <wp:simplePos x="0" y="0"/>
                <wp:positionH relativeFrom="column">
                  <wp:posOffset>3337956</wp:posOffset>
                </wp:positionH>
                <wp:positionV relativeFrom="paragraph">
                  <wp:posOffset>1557831</wp:posOffset>
                </wp:positionV>
                <wp:extent cx="1407814" cy="330074"/>
                <wp:effectExtent l="0" t="0" r="20955" b="13335"/>
                <wp:wrapNone/>
                <wp:docPr id="44" name="Rectángulo 44"/>
                <wp:cNvGraphicFramePr/>
                <a:graphic xmlns:a="http://schemas.openxmlformats.org/drawingml/2006/main">
                  <a:graphicData uri="http://schemas.microsoft.com/office/word/2010/wordprocessingShape">
                    <wps:wsp>
                      <wps:cNvSpPr/>
                      <wps:spPr>
                        <a:xfrm>
                          <a:off x="0" y="0"/>
                          <a:ext cx="1407814" cy="330074"/>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222066" id="Rectángulo 44" o:spid="_x0000_s1026" style="position:absolute;margin-left:262.85pt;margin-top:122.65pt;width:110.85pt;height:2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" filled="f" strokecolor="#1f4d78 [1604]" strokeweight="1.5pt"/>
            </w:pict>
          </mc:Fallback>
        </mc:AlternateContent>
      </w:r>
      <w:r w:rsidR="00E65421" w:rsidRPr="00DD59EA">
        <w:rPr>
          <w:noProof/>
          <w:lang w:eastAsia="es-MX"/>
        </w:rPr>
        <w:drawing>
          <wp:inline distT="0" distB="0" distL="0" distR="0" wp14:anchorId="06469842" wp14:editId="5D4BC33D">
            <wp:extent cx="5502783" cy="4091015"/>
            <wp:effectExtent l="0" t="0" r="3175" b="508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0840" t="9478" r="22997" b="16287"/>
                    <a:stretch/>
                  </pic:blipFill>
                  <pic:spPr bwMode="auto">
                    <a:xfrm>
                      <a:off x="0" y="0"/>
                      <a:ext cx="5524738" cy="4107337"/>
                    </a:xfrm>
                    <a:prstGeom prst="rect">
                      <a:avLst/>
                    </a:prstGeom>
                    <a:ln>
                      <a:noFill/>
                    </a:ln>
                    <a:extLst>
                      <a:ext uri="{53640926-AAD7-44D8-BBD7-CCE9431645EC}">
                        <a14:shadowObscured xmlns:a14="http://schemas.microsoft.com/office/drawing/2010/main"/>
                      </a:ext>
                    </a:extLst>
                  </pic:spPr>
                </pic:pic>
              </a:graphicData>
            </a:graphic>
          </wp:inline>
        </w:drawing>
      </w:r>
    </w:p>
    <w:p w:rsidR="00E65421" w:rsidRPr="00DD59EA" w:rsidRDefault="00E65421" w:rsidP="00E65421">
      <w:pPr>
        <w:spacing w:before="240" w:line="360" w:lineRule="auto"/>
        <w:ind w:right="49"/>
        <w:jc w:val="center"/>
        <w:rPr>
          <w:rFonts w:ascii="Palatino Linotype" w:eastAsia="Calibri" w:hAnsi="Palatino Linotype" w:cs="Arial"/>
        </w:rPr>
      </w:pPr>
      <w:r w:rsidRPr="00DD59EA">
        <w:rPr>
          <w:noProof/>
          <w:lang w:eastAsia="es-MX"/>
        </w:rPr>
        <w:lastRenderedPageBreak/>
        <mc:AlternateContent>
          <mc:Choice Requires="wps">
            <w:drawing>
              <wp:anchor distT="0" distB="0" distL="114300" distR="114300" simplePos="0" relativeHeight="251672576" behindDoc="0" locked="0" layoutInCell="1" allowOverlap="1">
                <wp:simplePos x="0" y="0"/>
                <wp:positionH relativeFrom="column">
                  <wp:posOffset>295992</wp:posOffset>
                </wp:positionH>
                <wp:positionV relativeFrom="paragraph">
                  <wp:posOffset>5076052</wp:posOffset>
                </wp:positionV>
                <wp:extent cx="5089984" cy="1009461"/>
                <wp:effectExtent l="19050" t="19050" r="15875" b="19685"/>
                <wp:wrapNone/>
                <wp:docPr id="43" name="Rectángulo 43"/>
                <wp:cNvGraphicFramePr/>
                <a:graphic xmlns:a="http://schemas.openxmlformats.org/drawingml/2006/main">
                  <a:graphicData uri="http://schemas.microsoft.com/office/word/2010/wordprocessingShape">
                    <wps:wsp>
                      <wps:cNvSpPr/>
                      <wps:spPr>
                        <a:xfrm>
                          <a:off x="0" y="0"/>
                          <a:ext cx="5089984" cy="1009461"/>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8C3632" id="Rectángulo 43" o:spid="_x0000_s1026" style="position:absolute;margin-left:23.3pt;margin-top:399.7pt;width:400.8pt;height: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" filled="f" strokecolor="#1f4d78 [1604]" strokeweight="2.25pt"/>
            </w:pict>
          </mc:Fallback>
        </mc:AlternateContent>
      </w:r>
      <w:r w:rsidRPr="00DD59EA">
        <w:rPr>
          <w:noProof/>
          <w:lang w:eastAsia="es-MX"/>
        </w:rPr>
        <mc:AlternateContent>
          <mc:Choice Requires="wps">
            <w:drawing>
              <wp:anchor distT="0" distB="0" distL="114300" distR="114300" simplePos="0" relativeHeight="251671552" behindDoc="0" locked="0" layoutInCell="1" allowOverlap="1">
                <wp:simplePos x="0" y="0"/>
                <wp:positionH relativeFrom="column">
                  <wp:posOffset>198968</wp:posOffset>
                </wp:positionH>
                <wp:positionV relativeFrom="paragraph">
                  <wp:posOffset>4023756</wp:posOffset>
                </wp:positionV>
                <wp:extent cx="3070904" cy="766405"/>
                <wp:effectExtent l="19050" t="19050" r="15240" b="15240"/>
                <wp:wrapNone/>
                <wp:docPr id="42" name="Rectángulo 42"/>
                <wp:cNvGraphicFramePr/>
                <a:graphic xmlns:a="http://schemas.openxmlformats.org/drawingml/2006/main">
                  <a:graphicData uri="http://schemas.microsoft.com/office/word/2010/wordprocessingShape">
                    <wps:wsp>
                      <wps:cNvSpPr/>
                      <wps:spPr>
                        <a:xfrm>
                          <a:off x="0" y="0"/>
                          <a:ext cx="3070904" cy="76640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E35D8E" id="Rectángulo 42" o:spid="_x0000_s1026" style="position:absolute;margin-left:15.65pt;margin-top:316.85pt;width:241.8pt;height:60.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" filled="f" strokecolor="#1f4d78 [1604]" strokeweight="2.25pt"/>
            </w:pict>
          </mc:Fallback>
        </mc:AlternateContent>
      </w:r>
      <w:r w:rsidRPr="00DD59EA">
        <w:rPr>
          <w:noProof/>
          <w:lang w:eastAsia="es-MX"/>
        </w:rPr>
        <mc:AlternateContent>
          <mc:Choice Requires="wps">
            <w:drawing>
              <wp:anchor distT="0" distB="0" distL="114300" distR="114300" simplePos="0" relativeHeight="251670528" behindDoc="0" locked="0" layoutInCell="1" allowOverlap="1">
                <wp:simplePos x="0" y="0"/>
                <wp:positionH relativeFrom="column">
                  <wp:posOffset>299393</wp:posOffset>
                </wp:positionH>
                <wp:positionV relativeFrom="paragraph">
                  <wp:posOffset>2311238</wp:posOffset>
                </wp:positionV>
                <wp:extent cx="4741138" cy="486271"/>
                <wp:effectExtent l="19050" t="19050" r="21590" b="28575"/>
                <wp:wrapNone/>
                <wp:docPr id="41" name="Rectángulo 41"/>
                <wp:cNvGraphicFramePr/>
                <a:graphic xmlns:a="http://schemas.openxmlformats.org/drawingml/2006/main">
                  <a:graphicData uri="http://schemas.microsoft.com/office/word/2010/wordprocessingShape">
                    <wps:wsp>
                      <wps:cNvSpPr/>
                      <wps:spPr>
                        <a:xfrm>
                          <a:off x="0" y="0"/>
                          <a:ext cx="4741138" cy="486271"/>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4DC7D7" id="Rectángulo 41" o:spid="_x0000_s1026" style="position:absolute;margin-left:23.55pt;margin-top:182pt;width:373.3pt;height:38.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" filled="f" strokecolor="#1f4d78 [1604]" strokeweight="2.25pt"/>
            </w:pict>
          </mc:Fallback>
        </mc:AlternateContent>
      </w:r>
      <w:r w:rsidRPr="00DD59EA">
        <w:rPr>
          <w:noProof/>
          <w:lang w:eastAsia="es-MX"/>
        </w:rPr>
        <w:drawing>
          <wp:inline distT="0" distB="0" distL="0" distR="0" wp14:anchorId="1BC73742" wp14:editId="6931E374">
            <wp:extent cx="5582920" cy="7167204"/>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3773" t="9572" r="33564" b="23917"/>
                    <a:stretch/>
                  </pic:blipFill>
                  <pic:spPr bwMode="auto">
                    <a:xfrm>
                      <a:off x="0" y="0"/>
                      <a:ext cx="5626646" cy="7223338"/>
                    </a:xfrm>
                    <a:prstGeom prst="rect">
                      <a:avLst/>
                    </a:prstGeom>
                    <a:ln>
                      <a:noFill/>
                    </a:ln>
                    <a:extLst>
                      <a:ext uri="{53640926-AAD7-44D8-BBD7-CCE9431645EC}">
                        <a14:shadowObscured xmlns:a14="http://schemas.microsoft.com/office/drawing/2010/main"/>
                      </a:ext>
                    </a:extLst>
                  </pic:spPr>
                </pic:pic>
              </a:graphicData>
            </a:graphic>
          </wp:inline>
        </w:drawing>
      </w:r>
    </w:p>
    <w:p w:rsidR="00DA47BB" w:rsidRPr="00DD59EA" w:rsidRDefault="00E65421" w:rsidP="00DA47BB">
      <w:pPr>
        <w:spacing w:before="100" w:beforeAutospacing="1" w:after="100" w:afterAutospacing="1" w:line="360" w:lineRule="auto"/>
        <w:jc w:val="both"/>
        <w:rPr>
          <w:rFonts w:ascii="Palatino Linotype" w:eastAsia="Arial Unicode MS" w:hAnsi="Palatino Linotype" w:cs="Arial"/>
        </w:rPr>
      </w:pPr>
      <w:r w:rsidRPr="00DD59EA">
        <w:rPr>
          <w:rFonts w:ascii="Palatino Linotype" w:eastAsia="Arial Unicode MS" w:hAnsi="Palatino Linotype" w:cs="Arial"/>
        </w:rPr>
        <w:lastRenderedPageBreak/>
        <w:t xml:space="preserve">Así, esta Ponencia Resolutora determina </w:t>
      </w:r>
      <w:r w:rsidR="00872FBE" w:rsidRPr="00DD59EA">
        <w:rPr>
          <w:rFonts w:ascii="Palatino Linotype" w:eastAsia="Arial Unicode MS" w:hAnsi="Palatino Linotype" w:cs="Arial"/>
        </w:rPr>
        <w:t xml:space="preserve">ordenar al </w:t>
      </w:r>
      <w:r w:rsidR="00872FBE" w:rsidRPr="00DD59EA">
        <w:rPr>
          <w:rFonts w:ascii="Palatino Linotype" w:eastAsia="Arial Unicode MS" w:hAnsi="Palatino Linotype" w:cs="Arial"/>
          <w:b/>
        </w:rPr>
        <w:t xml:space="preserve">SUJETO OBLIGADO </w:t>
      </w:r>
      <w:r w:rsidR="00872FBE" w:rsidRPr="00DD59EA">
        <w:rPr>
          <w:rFonts w:ascii="Palatino Linotype" w:eastAsia="Arial Unicode MS" w:hAnsi="Palatino Linotype" w:cs="Arial"/>
        </w:rPr>
        <w:t xml:space="preserve">realice una nueva búsqueda exhaustiva y razonable de la información y haga entrega a la hoy  </w:t>
      </w:r>
      <w:r w:rsidR="00872FBE" w:rsidRPr="00DD59EA">
        <w:rPr>
          <w:rFonts w:ascii="Palatino Linotype" w:eastAsia="Arial Unicode MS" w:hAnsi="Palatino Linotype" w:cs="Arial"/>
          <w:b/>
        </w:rPr>
        <w:t xml:space="preserve">RECURRENTE </w:t>
      </w:r>
      <w:r w:rsidR="00872FBE" w:rsidRPr="00DD59EA">
        <w:rPr>
          <w:rFonts w:ascii="Palatino Linotype" w:eastAsia="Arial Unicode MS" w:hAnsi="Palatino Linotype" w:cs="Arial"/>
        </w:rPr>
        <w:t>del documento o documentos en los que pudiera constar la</w:t>
      </w:r>
      <w:r w:rsidR="003D7A48" w:rsidRPr="00DD59EA">
        <w:rPr>
          <w:rFonts w:ascii="Palatino Linotype" w:eastAsia="Arial Unicode MS" w:hAnsi="Palatino Linotype" w:cs="Arial"/>
        </w:rPr>
        <w:t xml:space="preserve"> o las</w:t>
      </w:r>
      <w:r w:rsidR="00872FBE" w:rsidRPr="00DD59EA">
        <w:rPr>
          <w:rFonts w:ascii="Palatino Linotype" w:eastAsia="Arial Unicode MS" w:hAnsi="Palatino Linotype" w:cs="Arial"/>
        </w:rPr>
        <w:t xml:space="preserve"> </w:t>
      </w:r>
      <w:r w:rsidR="003D7A48" w:rsidRPr="00DD59EA">
        <w:rPr>
          <w:rFonts w:ascii="Palatino Linotype" w:eastAsia="Arial Unicode MS" w:hAnsi="Palatino Linotype" w:cs="Arial"/>
        </w:rPr>
        <w:t xml:space="preserve">fechas a partir de las cuales, el servidor público referido en la solicitud de origen, hubiera sido objeto de un aumento en su sueldo, por el periodo del 1 de enero al 31 de diciembre de 2018, es decir, que de manera enunciativa mas no limitativa </w:t>
      </w:r>
      <w:r w:rsidR="003D7A48" w:rsidRPr="00DD59EA">
        <w:rPr>
          <w:rFonts w:ascii="Palatino Linotype" w:eastAsia="Arial Unicode MS" w:hAnsi="Palatino Linotype" w:cs="Arial"/>
          <w:b/>
        </w:rPr>
        <w:t xml:space="preserve">EL SUJETO OBLIGADO </w:t>
      </w:r>
      <w:r w:rsidR="003D7A48" w:rsidRPr="00DD59EA">
        <w:rPr>
          <w:rFonts w:ascii="Palatino Linotype" w:eastAsia="Arial Unicode MS" w:hAnsi="Palatino Linotype" w:cs="Arial"/>
        </w:rPr>
        <w:t xml:space="preserve">deberá hacer entrega de la nómina detallada en la que conste la diferencia de sueldo que se hubiera pagado al servidor público en el caso de existir la promoción que hubiera generado el aumento salarial solicitado, </w:t>
      </w:r>
      <w:r w:rsidR="00D04D14" w:rsidRPr="00DD59EA">
        <w:rPr>
          <w:rFonts w:ascii="Palatino Linotype" w:eastAsia="Arial Unicode MS" w:hAnsi="Palatino Linotype" w:cs="Arial"/>
        </w:rPr>
        <w:t>en versión pública</w:t>
      </w:r>
      <w:r w:rsidR="00872FBE" w:rsidRPr="00DD59EA">
        <w:rPr>
          <w:rFonts w:ascii="Palatino Linotype" w:eastAsia="Arial Unicode MS" w:hAnsi="Palatino Linotype" w:cs="Arial"/>
        </w:rPr>
        <w:t xml:space="preserve">; </w:t>
      </w:r>
      <w:r w:rsidR="00DA47BB" w:rsidRPr="00DD59EA">
        <w:rPr>
          <w:rFonts w:ascii="Palatino Linotype" w:eastAsia="Arial Unicode MS" w:hAnsi="Palatino Linotype" w:cs="Arial"/>
        </w:rPr>
        <w:t>por lo que, en caso de no haberse generado poseído o administrado la misma bastara con que lo haga de conocimiento de la particular</w:t>
      </w:r>
      <w:r w:rsidR="007463AC" w:rsidRPr="00DD59EA">
        <w:rPr>
          <w:rFonts w:ascii="Palatino Linotype" w:eastAsia="Arial Unicode MS" w:hAnsi="Palatino Linotype" w:cs="Arial"/>
        </w:rPr>
        <w:t>,</w:t>
      </w:r>
      <w:r w:rsidR="00DA47BB" w:rsidRPr="00DD59EA">
        <w:rPr>
          <w:rFonts w:ascii="Palatino Linotype" w:eastAsia="Arial Unicode MS" w:hAnsi="Palatino Linotype" w:cs="Arial"/>
        </w:rPr>
        <w:t xml:space="preserve"> al momento de dar cumplimiento a la presente resolución.</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Por otro lado, no se omite comentar que el documento que de manera enunciativa más no limitativa pudiera colmar el derecho de acceso a la información de la solicitante contiene datos personales susceptibles de ser testados; por lo que, deberá ser entregado en </w:t>
      </w:r>
      <w:r w:rsidRPr="00DD59EA">
        <w:rPr>
          <w:rFonts w:ascii="Palatino Linotype" w:hAnsi="Palatino Linotype" w:cs="Arial"/>
          <w:b/>
        </w:rPr>
        <w:t>versión pública</w:t>
      </w:r>
      <w:r w:rsidRPr="00DD59EA">
        <w:rPr>
          <w:rFonts w:ascii="Palatino Linotype" w:hAnsi="Palatino Linotype" w:cs="Arial"/>
        </w:rPr>
        <w:t>; pues, el</w:t>
      </w:r>
      <w:r w:rsidRPr="00DD59EA">
        <w:rPr>
          <w:rFonts w:ascii="Palatino Linotype" w:hAnsi="Palatino Linotype" w:cs="Arial"/>
          <w:bCs/>
        </w:rPr>
        <w:t xml:space="preserve"> derecho de acceso a la información pública tiene como limitante el respeto a la intimidad y a la vida privada de las personas; razón por la cual, este Instituto debe cuidar que los datos personales que obren en poder de los Sujetos Obligados sean protegidos y únicamente se den a conocer aquéllos que abonen a la rendición de cuentas y a la transparencia en el ejercicio de las atribuciones que tienen conferidas. De este modo, en armonía entre los principios constitucionales de máxima publicidad y de protección de datos personales, la ley permite la elaboración de versiones públicas en las que se suprima aquella información relacionada con la vida privada de los particulares.</w:t>
      </w:r>
    </w:p>
    <w:p w:rsidR="005529FA" w:rsidRPr="00DD59EA" w:rsidRDefault="005529FA" w:rsidP="005529FA">
      <w:pPr>
        <w:spacing w:before="100" w:beforeAutospacing="1" w:after="100" w:afterAutospacing="1" w:line="360" w:lineRule="auto"/>
        <w:jc w:val="both"/>
        <w:rPr>
          <w:rFonts w:ascii="Palatino Linotype" w:hAnsi="Palatino Linotype" w:cs="Arial"/>
          <w:bCs/>
        </w:rPr>
      </w:pPr>
      <w:r w:rsidRPr="00DD59EA">
        <w:rPr>
          <w:rFonts w:ascii="Palatino Linotype" w:hAnsi="Palatino Linotype" w:cs="Arial"/>
          <w:bCs/>
        </w:rPr>
        <w:lastRenderedPageBreak/>
        <w:t>A este respecto, los artículos 3, fracciones IX, XX, XXI y XLV; 51 y 52 de la Ley de Transparencia y Acceso a la Información Pública del Estado de México y Municipios establecen:</w:t>
      </w:r>
    </w:p>
    <w:p w:rsidR="005529FA" w:rsidRPr="00DD59EA" w:rsidRDefault="005529FA" w:rsidP="005529FA">
      <w:pPr>
        <w:ind w:left="851" w:right="901"/>
        <w:jc w:val="both"/>
        <w:rPr>
          <w:rFonts w:ascii="Palatino Linotype" w:hAnsi="Palatino Linotype"/>
          <w:i/>
          <w:sz w:val="22"/>
          <w:szCs w:val="22"/>
        </w:rPr>
      </w:pPr>
      <w:r w:rsidRPr="00DD59EA">
        <w:rPr>
          <w:rFonts w:ascii="Palatino Linotype" w:hAnsi="Palatino Linotype" w:cs="Arial"/>
          <w:b/>
          <w:bCs/>
          <w:i/>
          <w:noProof/>
          <w:sz w:val="22"/>
          <w:szCs w:val="22"/>
        </w:rPr>
        <w:t>“</w:t>
      </w:r>
      <w:r w:rsidRPr="00DD59EA">
        <w:rPr>
          <w:rFonts w:ascii="Palatino Linotype" w:hAnsi="Palatino Linotype" w:cs="Arial"/>
          <w:b/>
          <w:bCs/>
          <w:i/>
          <w:sz w:val="22"/>
          <w:szCs w:val="22"/>
        </w:rPr>
        <w:t xml:space="preserve">Artículo 3. </w:t>
      </w:r>
      <w:r w:rsidRPr="00DD59EA">
        <w:rPr>
          <w:rFonts w:ascii="Palatino Linotype" w:hAnsi="Palatino Linotype"/>
          <w:i/>
          <w:sz w:val="22"/>
          <w:szCs w:val="22"/>
        </w:rPr>
        <w:t xml:space="preserve">Para los efectos de la presente Ley se entenderá por: </w:t>
      </w:r>
    </w:p>
    <w:p w:rsidR="005529FA" w:rsidRPr="00DD59EA" w:rsidRDefault="005529FA" w:rsidP="005529FA">
      <w:pPr>
        <w:ind w:left="851" w:right="899"/>
        <w:jc w:val="both"/>
        <w:rPr>
          <w:rFonts w:ascii="Palatino Linotype" w:hAnsi="Palatino Linotype" w:cs="Arial"/>
          <w:i/>
          <w:sz w:val="22"/>
          <w:szCs w:val="22"/>
        </w:rPr>
      </w:pPr>
      <w:r w:rsidRPr="00DD59EA">
        <w:rPr>
          <w:rFonts w:ascii="Palatino Linotype" w:hAnsi="Palatino Linotype" w:cs="Arial"/>
          <w:b/>
          <w:i/>
          <w:sz w:val="22"/>
          <w:szCs w:val="22"/>
        </w:rPr>
        <w:t>IX.</w:t>
      </w:r>
      <w:r w:rsidRPr="00DD59EA">
        <w:rPr>
          <w:rFonts w:ascii="Palatino Linotype" w:hAnsi="Palatino Linotype" w:cs="Arial"/>
          <w:i/>
          <w:sz w:val="22"/>
          <w:szCs w:val="22"/>
        </w:rPr>
        <w:t xml:space="preserve"> </w:t>
      </w:r>
      <w:r w:rsidRPr="00DD59EA">
        <w:rPr>
          <w:rFonts w:ascii="Palatino Linotype" w:hAnsi="Palatino Linotype" w:cs="Arial"/>
          <w:b/>
          <w:i/>
          <w:sz w:val="22"/>
          <w:szCs w:val="22"/>
        </w:rPr>
        <w:t xml:space="preserve">Datos personales: </w:t>
      </w:r>
      <w:r w:rsidRPr="00DD59EA">
        <w:rPr>
          <w:rFonts w:ascii="Palatino Linotype" w:hAnsi="Palatino Linotype" w:cs="Arial"/>
          <w:i/>
          <w:sz w:val="22"/>
          <w:szCs w:val="22"/>
        </w:rPr>
        <w:t xml:space="preserve">La información concerniente a una persona, identificada o identificable según lo dispuesto por la Ley de </w:t>
      </w:r>
      <w:r w:rsidRPr="00DD59EA">
        <w:rPr>
          <w:rFonts w:ascii="Palatino Linotype" w:hAnsi="Palatino Linotype"/>
          <w:i/>
          <w:sz w:val="22"/>
          <w:szCs w:val="22"/>
        </w:rPr>
        <w:t>Protección</w:t>
      </w:r>
      <w:r w:rsidRPr="00DD59EA">
        <w:rPr>
          <w:rFonts w:ascii="Palatino Linotype" w:hAnsi="Palatino Linotype" w:cs="Arial"/>
          <w:i/>
          <w:sz w:val="22"/>
          <w:szCs w:val="22"/>
        </w:rPr>
        <w:t xml:space="preserve"> de Datos Personales del Estado de México; </w:t>
      </w:r>
    </w:p>
    <w:p w:rsidR="005529FA" w:rsidRPr="00DD59EA" w:rsidRDefault="005529FA" w:rsidP="005529FA">
      <w:pPr>
        <w:ind w:left="851" w:right="899"/>
        <w:jc w:val="both"/>
        <w:rPr>
          <w:rFonts w:ascii="Palatino Linotype" w:hAnsi="Palatino Linotype" w:cs="Arial"/>
          <w:i/>
          <w:sz w:val="22"/>
          <w:szCs w:val="22"/>
        </w:rPr>
      </w:pPr>
      <w:r w:rsidRPr="00DD59EA">
        <w:rPr>
          <w:rFonts w:ascii="Palatino Linotype" w:hAnsi="Palatino Linotype" w:cs="Arial"/>
          <w:b/>
          <w:i/>
          <w:sz w:val="22"/>
          <w:szCs w:val="22"/>
        </w:rPr>
        <w:t>XX.</w:t>
      </w:r>
      <w:r w:rsidRPr="00DD59EA">
        <w:rPr>
          <w:rFonts w:ascii="Palatino Linotype" w:hAnsi="Palatino Linotype" w:cs="Arial"/>
          <w:i/>
          <w:sz w:val="22"/>
          <w:szCs w:val="22"/>
        </w:rPr>
        <w:t xml:space="preserve"> </w:t>
      </w:r>
      <w:r w:rsidRPr="00DD59EA">
        <w:rPr>
          <w:rFonts w:ascii="Palatino Linotype" w:hAnsi="Palatino Linotype" w:cs="Arial"/>
          <w:b/>
          <w:i/>
          <w:sz w:val="22"/>
          <w:szCs w:val="22"/>
        </w:rPr>
        <w:t>Información clasificada:</w:t>
      </w:r>
      <w:r w:rsidRPr="00DD59EA">
        <w:rPr>
          <w:rFonts w:ascii="Palatino Linotype" w:hAnsi="Palatino Linotype" w:cs="Arial"/>
          <w:i/>
          <w:sz w:val="22"/>
          <w:szCs w:val="22"/>
        </w:rPr>
        <w:t xml:space="preserve"> Aquella considerada por la presente Ley como reservada o confidencial; </w:t>
      </w:r>
    </w:p>
    <w:p w:rsidR="005529FA" w:rsidRPr="00DD59EA" w:rsidRDefault="005529FA" w:rsidP="005529FA">
      <w:pPr>
        <w:ind w:left="851" w:right="899"/>
        <w:jc w:val="both"/>
        <w:rPr>
          <w:rFonts w:ascii="Palatino Linotype" w:hAnsi="Palatino Linotype" w:cs="Arial"/>
          <w:i/>
          <w:sz w:val="22"/>
          <w:szCs w:val="22"/>
        </w:rPr>
      </w:pPr>
      <w:r w:rsidRPr="00DD59EA">
        <w:rPr>
          <w:rFonts w:ascii="Palatino Linotype" w:hAnsi="Palatino Linotype" w:cs="Arial"/>
          <w:b/>
          <w:i/>
          <w:sz w:val="22"/>
          <w:szCs w:val="22"/>
        </w:rPr>
        <w:t>XXI.</w:t>
      </w:r>
      <w:r w:rsidRPr="00DD59EA">
        <w:rPr>
          <w:rFonts w:ascii="Palatino Linotype" w:hAnsi="Palatino Linotype" w:cs="Arial"/>
          <w:i/>
          <w:sz w:val="22"/>
          <w:szCs w:val="22"/>
        </w:rPr>
        <w:t xml:space="preserve"> </w:t>
      </w:r>
      <w:r w:rsidRPr="00DD59EA">
        <w:rPr>
          <w:rFonts w:ascii="Palatino Linotype" w:hAnsi="Palatino Linotype" w:cs="Arial"/>
          <w:b/>
          <w:i/>
          <w:sz w:val="22"/>
          <w:szCs w:val="22"/>
        </w:rPr>
        <w:t>Información confidencial</w:t>
      </w:r>
      <w:r w:rsidRPr="00DD59EA">
        <w:rPr>
          <w:rFonts w:ascii="Palatino Linotype" w:hAnsi="Palatino Linotype" w:cs="Arial"/>
          <w:i/>
          <w:sz w:val="22"/>
          <w:szCs w:val="22"/>
        </w:rPr>
        <w:t xml:space="preserve">: Se considera como información confidencial los secretos bancario, fiduciario, industrial, comercial, fiscal, bursátil y postal, cuya titularidad corresponda a particulares, sujetos de derecho internacional o a sujetos obligados cuando no involucren el ejercicio de recursos públicos; </w:t>
      </w:r>
    </w:p>
    <w:p w:rsidR="005529FA" w:rsidRPr="00DD59EA" w:rsidRDefault="005529FA" w:rsidP="005529FA">
      <w:pPr>
        <w:ind w:left="851" w:right="899"/>
        <w:jc w:val="both"/>
        <w:rPr>
          <w:rFonts w:ascii="Palatino Linotype" w:hAnsi="Palatino Linotype" w:cs="Arial"/>
          <w:i/>
          <w:sz w:val="22"/>
          <w:szCs w:val="22"/>
        </w:rPr>
      </w:pPr>
      <w:r w:rsidRPr="00DD59EA">
        <w:rPr>
          <w:rFonts w:ascii="Palatino Linotype" w:hAnsi="Palatino Linotype" w:cs="Arial"/>
          <w:b/>
          <w:i/>
          <w:sz w:val="22"/>
          <w:szCs w:val="22"/>
        </w:rPr>
        <w:t>XLV. Versión pública:</w:t>
      </w:r>
      <w:r w:rsidRPr="00DD59EA">
        <w:rPr>
          <w:rFonts w:ascii="Palatino Linotype" w:hAnsi="Palatino Linotype" w:cs="Arial"/>
          <w:i/>
          <w:sz w:val="22"/>
          <w:szCs w:val="22"/>
        </w:rPr>
        <w:t xml:space="preserve"> Documento en el que se elimine, suprime o borra la información clasificada como reservada o confidencial para permitir su acceso. </w:t>
      </w:r>
    </w:p>
    <w:p w:rsidR="005529FA" w:rsidRPr="00DD59EA" w:rsidRDefault="005529FA" w:rsidP="005529FA">
      <w:pPr>
        <w:ind w:left="851" w:right="899"/>
        <w:jc w:val="both"/>
        <w:rPr>
          <w:rFonts w:ascii="Palatino Linotype" w:hAnsi="Palatino Linotype" w:cs="Arial"/>
          <w:i/>
          <w:sz w:val="22"/>
          <w:szCs w:val="22"/>
        </w:rPr>
      </w:pPr>
      <w:r w:rsidRPr="00DD59EA">
        <w:rPr>
          <w:rFonts w:ascii="Palatino Linotype" w:hAnsi="Palatino Linotype" w:cs="Arial"/>
          <w:b/>
          <w:i/>
          <w:sz w:val="22"/>
          <w:szCs w:val="22"/>
        </w:rPr>
        <w:t>Artículo 51.</w:t>
      </w:r>
      <w:r w:rsidRPr="00DD59EA">
        <w:rPr>
          <w:rFonts w:ascii="Palatino Linotype" w:hAnsi="Palatino Linotype" w:cs="Arial"/>
          <w:i/>
          <w:sz w:val="22"/>
          <w:szCs w:val="22"/>
        </w:rPr>
        <w:t xml:space="preserve"> Los sujetos obligados designaran a un responsable para atender la Unidad de Transparencia, quien fungirá como enlace entre éstos y los solicitantes. Dicha Unidad será la encargada de tramitar internamente la solicitud de información </w:t>
      </w:r>
      <w:r w:rsidRPr="00DD59EA">
        <w:rPr>
          <w:rFonts w:ascii="Palatino Linotype" w:hAnsi="Palatino Linotype" w:cs="Arial"/>
          <w:b/>
          <w:i/>
          <w:sz w:val="22"/>
          <w:szCs w:val="22"/>
        </w:rPr>
        <w:t xml:space="preserve">y tendrá la responsabilidad de verificar en cada caso que la misma no sea confidencial o reservada. </w:t>
      </w:r>
      <w:r w:rsidRPr="00DD59EA">
        <w:rPr>
          <w:rFonts w:ascii="Palatino Linotype" w:hAnsi="Palatino Linotype" w:cs="Arial"/>
          <w:i/>
          <w:sz w:val="22"/>
          <w:szCs w:val="22"/>
        </w:rPr>
        <w:t xml:space="preserve">Dicha Unidad contará con las facultades internas necesarias para gestionar la atención a las solicitudes de información en los términos de la Ley General y la presente Ley. </w:t>
      </w:r>
    </w:p>
    <w:p w:rsidR="005529FA" w:rsidRPr="00DD59EA" w:rsidRDefault="005529FA" w:rsidP="005529FA">
      <w:pPr>
        <w:ind w:left="851" w:right="899"/>
        <w:jc w:val="both"/>
        <w:rPr>
          <w:rFonts w:ascii="Palatino Linotype" w:hAnsi="Palatino Linotype" w:cs="Arial"/>
          <w:i/>
          <w:sz w:val="22"/>
          <w:szCs w:val="22"/>
        </w:rPr>
      </w:pPr>
      <w:r w:rsidRPr="00DD59EA">
        <w:rPr>
          <w:rFonts w:ascii="Palatino Linotype" w:hAnsi="Palatino Linotype" w:cs="Arial"/>
          <w:b/>
          <w:i/>
          <w:sz w:val="22"/>
          <w:szCs w:val="22"/>
        </w:rPr>
        <w:t>Artículo 52.</w:t>
      </w:r>
      <w:r w:rsidRPr="00DD59EA">
        <w:rPr>
          <w:rFonts w:ascii="Palatino Linotype" w:hAnsi="Palatino Linotype" w:cs="Arial"/>
          <w:i/>
          <w:sz w:val="22"/>
          <w:szCs w:val="22"/>
        </w:rPr>
        <w:t xml:space="preserve"> Las solicitudes de acceso a la información y las respuestas que se les dé, incluyendo, en su caso, </w:t>
      </w:r>
      <w:r w:rsidRPr="00DD59EA">
        <w:rPr>
          <w:rFonts w:ascii="Palatino Linotype" w:hAnsi="Palatino Linotype" w:cs="Arial"/>
          <w:b/>
          <w:i/>
          <w:sz w:val="22"/>
          <w:szCs w:val="22"/>
        </w:rPr>
        <w:t>la información entregada, así como las resoluciones a los recursos que en su caso se promuevan serán públicas, y de ser el caso que contenga datos personales que deban ser protegidos se podrá dar su acceso en su versión pública,</w:t>
      </w:r>
      <w:r w:rsidRPr="00DD59EA">
        <w:rPr>
          <w:rFonts w:ascii="Palatino Linotype" w:hAnsi="Palatino Linotype" w:cs="Arial"/>
          <w:i/>
          <w:sz w:val="22"/>
          <w:szCs w:val="22"/>
        </w:rPr>
        <w:t xml:space="preserve"> siempre y cuando la resolución de referencia se someta a un proceso de disociación, es decir, no haga identificable al titular de tales datos personales.</w:t>
      </w:r>
      <w:r w:rsidRPr="00DD59EA">
        <w:rPr>
          <w:rFonts w:ascii="Palatino Linotype" w:hAnsi="Palatino Linotype" w:cs="Arial"/>
          <w:bCs/>
          <w:i/>
          <w:noProof/>
          <w:sz w:val="22"/>
          <w:szCs w:val="22"/>
        </w:rPr>
        <w:t>”</w:t>
      </w:r>
    </w:p>
    <w:p w:rsidR="005529FA" w:rsidRPr="00DD59EA" w:rsidRDefault="005529FA" w:rsidP="005529FA">
      <w:pPr>
        <w:ind w:right="899" w:firstLine="708"/>
        <w:jc w:val="both"/>
        <w:rPr>
          <w:rFonts w:ascii="Palatino Linotype" w:hAnsi="Palatino Linotype" w:cs="Arial"/>
          <w:i/>
          <w:sz w:val="22"/>
          <w:szCs w:val="22"/>
        </w:rPr>
      </w:pPr>
      <w:r w:rsidRPr="00DD59EA">
        <w:rPr>
          <w:rFonts w:ascii="Palatino Linotype" w:hAnsi="Palatino Linotype" w:cs="Arial"/>
          <w:i/>
          <w:sz w:val="22"/>
          <w:szCs w:val="22"/>
        </w:rPr>
        <w:t>(Énfasis añadido)</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Así, los datos personales que obren en poder de los Sujetos Obligados deben estar protegidos, adoptando las medidas de seguridad administrativas, físicas y técnicas necesarias para garantizar la integridad, confidencialidad y disponibilidad de los datos </w:t>
      </w:r>
      <w:r w:rsidRPr="00DD59EA">
        <w:rPr>
          <w:rFonts w:ascii="Palatino Linotype" w:hAnsi="Palatino Linotype" w:cs="Arial"/>
        </w:rPr>
        <w:lastRenderedPageBreak/>
        <w:t xml:space="preserve">personales, considerando además, que conforme al principio de finalidad, todo tratamiento de datos personales que efectúen, deberá estar justificado en la Ley, lo anterior en términos de lo dispuesto por el artículo 22, párrafo primero con relación con el 38 de la Ley de Protección de Datos Personales en Posesión de Sujetos Obligados del Estado de México y Municipios, los cuales se transcriben para mayor referencia: </w:t>
      </w:r>
    </w:p>
    <w:p w:rsidR="005529FA" w:rsidRPr="00DD59EA" w:rsidRDefault="005529FA" w:rsidP="005529FA">
      <w:pPr>
        <w:ind w:left="851" w:right="902"/>
        <w:jc w:val="both"/>
        <w:rPr>
          <w:rFonts w:ascii="Palatino Linotype" w:eastAsia="Arial Unicode MS" w:hAnsi="Palatino Linotype" w:cs="Arial"/>
          <w:i/>
          <w:sz w:val="22"/>
          <w:szCs w:val="22"/>
        </w:rPr>
      </w:pPr>
      <w:r w:rsidRPr="00DD59EA">
        <w:rPr>
          <w:rFonts w:ascii="Palatino Linotype" w:eastAsia="Arial Unicode MS" w:hAnsi="Palatino Linotype" w:cs="Arial"/>
          <w:b/>
          <w:i/>
          <w:sz w:val="22"/>
          <w:szCs w:val="22"/>
        </w:rPr>
        <w:t>“Artículo 22.</w:t>
      </w:r>
      <w:r w:rsidRPr="00DD59EA">
        <w:rPr>
          <w:rFonts w:ascii="Palatino Linotype" w:eastAsia="Arial Unicode MS" w:hAnsi="Palatino Linotype" w:cs="Arial"/>
          <w:i/>
          <w:sz w:val="22"/>
          <w:szCs w:val="22"/>
        </w:rPr>
        <w:t xml:space="preserve"> Todo tratamiento de datos personales que efectúe el responsable deberá estar justificado por finalidades concretas, lícitas, explícitas y legítimas, relacionadas con las atribuciones que la normatividad aplicable les confiera.  </w:t>
      </w:r>
    </w:p>
    <w:p w:rsidR="005529FA" w:rsidRPr="00DD59EA" w:rsidRDefault="005529FA" w:rsidP="005529FA">
      <w:pPr>
        <w:ind w:left="851" w:right="902"/>
        <w:jc w:val="both"/>
        <w:rPr>
          <w:rFonts w:ascii="Palatino Linotype" w:eastAsia="Arial Unicode MS" w:hAnsi="Palatino Linotype" w:cs="Arial"/>
          <w:i/>
          <w:sz w:val="22"/>
          <w:szCs w:val="22"/>
        </w:rPr>
      </w:pPr>
      <w:r w:rsidRPr="00DD59EA">
        <w:rPr>
          <w:rFonts w:ascii="Palatino Linotype" w:eastAsia="Arial Unicode MS" w:hAnsi="Palatino Linotype" w:cs="Arial"/>
          <w:b/>
          <w:i/>
          <w:sz w:val="22"/>
          <w:szCs w:val="22"/>
        </w:rPr>
        <w:t>Artículo 38.</w:t>
      </w:r>
      <w:r w:rsidRPr="00DD59EA">
        <w:rPr>
          <w:rFonts w:ascii="Palatino Linotype" w:eastAsia="Arial Unicode MS" w:hAnsi="Palatino Linotype" w:cs="Arial"/>
          <w:i/>
          <w:sz w:val="22"/>
          <w:szCs w:val="22"/>
        </w:rPr>
        <w:t xml:space="preserve"> Con independencia del tipo de sistema y base de datos en el que se encuentren los datos personales o el tipo de tratamiento que se efectúe, el responsable adoptará, establecerá, mantendrá y documentará las medidas de seguridad administrativas, físicas y técnicas para garantizar la integridad, confidencialidad y disponibilidad de los datos personales, a través de controles y acciones que eviten su daño, alteración, pérdida, destrucción, o el uso, transferencia, acceso o cualquier tratamiento no autorizado o ilícito, de conformidad con lo dispuesto en los lineamientos que al efecto se expidan.</w:t>
      </w:r>
      <w:r w:rsidRPr="00DD59EA">
        <w:rPr>
          <w:rFonts w:ascii="Palatino Linotype" w:eastAsia="Arial Unicode MS" w:hAnsi="Palatino Linotype" w:cs="Arial"/>
          <w:b/>
          <w:i/>
          <w:sz w:val="22"/>
          <w:szCs w:val="22"/>
        </w:rPr>
        <w:t>”</w:t>
      </w:r>
      <w:r w:rsidRPr="00DD59EA">
        <w:rPr>
          <w:rFonts w:ascii="Palatino Linotype" w:eastAsia="Arial Unicode MS" w:hAnsi="Palatino Linotype" w:cs="Arial"/>
          <w:i/>
          <w:sz w:val="22"/>
          <w:szCs w:val="22"/>
        </w:rPr>
        <w:t xml:space="preserve"> (SIC)</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De este modo, en armonía entre los principios constitucionales de máxima publicidad y de protección de datos personales, la Ley de la materia permite la elaboración de versiones públicas en las que se suprima aquella información relacionada con la vida privada de los particulares toda vez que ésta tiene por objeto proteger datos personales, entendiéndose por tales, aquéllos que hacen identificable a una persona. </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Lo anterior es así, en virtud de que toda la información relativa a una persona física o jurídico colectiva que le pueda hacer identificada o identificable constituye un dato personal en términos del artículo 4, fracción XI de la Ley de Protección de Datos Personales en Posesión de Sujetos Obligados del Estado de México y Municipios; por consiguiente, se trata de información confidencial</w:t>
      </w:r>
      <w:r w:rsidRPr="00DD59EA">
        <w:rPr>
          <w:rFonts w:ascii="Palatino Linotype" w:eastAsia="Arial Unicode MS" w:hAnsi="Palatino Linotype" w:cs="Arial"/>
        </w:rPr>
        <w:t xml:space="preserve"> que debe ser protegida por </w:t>
      </w:r>
      <w:r w:rsidRPr="00DD59EA">
        <w:rPr>
          <w:rFonts w:ascii="Palatino Linotype" w:eastAsia="Arial Unicode MS" w:hAnsi="Palatino Linotype" w:cs="Arial"/>
          <w:b/>
        </w:rPr>
        <w:t xml:space="preserve">EL </w:t>
      </w:r>
      <w:r w:rsidRPr="00DD59EA">
        <w:rPr>
          <w:rFonts w:ascii="Palatino Linotype" w:eastAsia="Arial Unicode MS" w:hAnsi="Palatino Linotype" w:cs="Arial"/>
          <w:b/>
        </w:rPr>
        <w:lastRenderedPageBreak/>
        <w:t>SUJETO OBLIGADO,</w:t>
      </w:r>
      <w:r w:rsidRPr="00DD59EA">
        <w:rPr>
          <w:rFonts w:ascii="Palatino Linotype" w:eastAsia="Arial Unicode MS" w:hAnsi="Palatino Linotype" w:cs="Arial"/>
        </w:rPr>
        <w:t xml:space="preserve"> por lo </w:t>
      </w:r>
      <w:r w:rsidRPr="00DD59EA">
        <w:rPr>
          <w:rFonts w:ascii="Palatino Linotype" w:hAnsi="Palatino Linotype" w:cs="Arial"/>
        </w:rPr>
        <w:t>que, todo dato personal susceptible de clasificación debe ser protegido.</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La finalidad de la versión pública de la información, es salvaguardar la vida, integridad, seguridad, patrimonio y privacidad de las personas; de tal manera que todo aquello que no tenga por objeto proteger lo anterior, es susceptible de ser entregado; en otras palabras, la protección de datos personales, entre ellos el del patrimonio y su confidencialidad, es una derivación del derecho a la intimidad.</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Asimismo, es importante señalar que dicha clasificación se tiene que efectuar mediante la forma y formalidades que la ley de la materia impone; es decir, mediante acuerdo debidamente fundado y motivado, de su Comité de Transparencia, en términos de los artículos 49, fracción VIII y 132, fracciones II y III de la Ley de Transparencia y Acceso a la Información Pública del Estado de México y Municipios, así como los numerales Segundo, fracción XVIII,  y del Cuarto al Décimo Primero de los Lineamientos Generales en materia de Clasificación y Desclasificación de la Información, así como para la elaboración de Versiones Públicas, que literalmente expresan:</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 xml:space="preserve">“Artículo 49. </w:t>
      </w:r>
      <w:r w:rsidRPr="00DD59EA">
        <w:rPr>
          <w:rFonts w:ascii="Palatino Linotype" w:hAnsi="Palatino Linotype" w:cs="Arial"/>
          <w:i/>
          <w:sz w:val="22"/>
          <w:szCs w:val="22"/>
        </w:rPr>
        <w:t>Los Comités de Transparencia tendrán las siguientes atribuciones: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VIII.</w:t>
      </w:r>
      <w:r w:rsidRPr="00DD59EA">
        <w:rPr>
          <w:rFonts w:ascii="Palatino Linotype" w:hAnsi="Palatino Linotype" w:cs="Arial"/>
          <w:i/>
          <w:sz w:val="22"/>
          <w:szCs w:val="22"/>
        </w:rPr>
        <w:t xml:space="preserve"> Aprobar, modificar o revocar la clasificación de la información;</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Artículo 132.</w:t>
      </w:r>
      <w:r w:rsidRPr="00DD59EA">
        <w:rPr>
          <w:rFonts w:ascii="Palatino Linotype" w:hAnsi="Palatino Linotype" w:cs="Arial"/>
          <w:i/>
          <w:sz w:val="22"/>
          <w:szCs w:val="22"/>
        </w:rPr>
        <w:t xml:space="preserve"> La clasificación de la información se llevará a cabo en el momento en que:</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I.</w:t>
      </w:r>
      <w:r w:rsidRPr="00DD59EA">
        <w:rPr>
          <w:rFonts w:ascii="Palatino Linotype" w:hAnsi="Palatino Linotype" w:cs="Arial"/>
          <w:i/>
          <w:sz w:val="22"/>
          <w:szCs w:val="22"/>
        </w:rPr>
        <w:t xml:space="preserve"> Se reciba una solicitud de acceso a la información;</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II.</w:t>
      </w:r>
      <w:r w:rsidRPr="00DD59EA">
        <w:rPr>
          <w:rFonts w:ascii="Palatino Linotype" w:hAnsi="Palatino Linotype" w:cs="Arial"/>
          <w:i/>
          <w:sz w:val="22"/>
          <w:szCs w:val="22"/>
        </w:rPr>
        <w:t xml:space="preserve"> Se determine mediante resolución de autoridad competente; o</w:t>
      </w:r>
    </w:p>
    <w:p w:rsidR="005529FA" w:rsidRPr="00DD59EA" w:rsidRDefault="005529FA" w:rsidP="005529FA">
      <w:pPr>
        <w:ind w:left="851" w:right="902"/>
        <w:jc w:val="both"/>
        <w:rPr>
          <w:rFonts w:ascii="Palatino Linotype" w:hAnsi="Palatino Linotype" w:cs="Arial"/>
          <w:b/>
          <w:i/>
          <w:sz w:val="22"/>
          <w:szCs w:val="22"/>
        </w:rPr>
      </w:pPr>
      <w:r w:rsidRPr="00DD59EA">
        <w:rPr>
          <w:rFonts w:ascii="Palatino Linotype" w:hAnsi="Palatino Linotype" w:cs="Arial"/>
          <w:i/>
          <w:sz w:val="22"/>
          <w:szCs w:val="22"/>
        </w:rPr>
        <w:t>III. Se generen versiones públicas para dar cumplimiento a las obligaciones de transparencia previstas en esta Ley.</w:t>
      </w:r>
      <w:r w:rsidRPr="00DD59EA">
        <w:rPr>
          <w:rFonts w:ascii="Palatino Linotype" w:hAnsi="Palatino Linotype" w:cs="Arial"/>
          <w:b/>
          <w:i/>
          <w:sz w:val="22"/>
          <w:szCs w:val="22"/>
        </w:rPr>
        <w:t>”</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“Segundo.-</w:t>
      </w:r>
      <w:r w:rsidRPr="00DD59EA">
        <w:rPr>
          <w:rFonts w:ascii="Palatino Linotype" w:hAnsi="Palatino Linotype" w:cs="Arial"/>
          <w:i/>
          <w:sz w:val="22"/>
          <w:szCs w:val="22"/>
        </w:rPr>
        <w:t xml:space="preserve"> Para efectos de los presentes Lineamientos Generales, se entenderá por:</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XVIII.</w:t>
      </w:r>
      <w:r w:rsidRPr="00DD59EA">
        <w:rPr>
          <w:rFonts w:ascii="Palatino Linotype" w:hAnsi="Palatino Linotype" w:cs="Arial"/>
          <w:i/>
          <w:sz w:val="22"/>
          <w:szCs w:val="22"/>
        </w:rPr>
        <w:t xml:space="preserve">  </w:t>
      </w:r>
      <w:r w:rsidRPr="00DD59EA">
        <w:rPr>
          <w:rFonts w:ascii="Palatino Linotype" w:hAnsi="Palatino Linotype" w:cs="Arial"/>
          <w:b/>
          <w:i/>
          <w:sz w:val="22"/>
          <w:szCs w:val="22"/>
        </w:rPr>
        <w:t>Versión pública:</w:t>
      </w:r>
      <w:r w:rsidRPr="00DD59EA">
        <w:rPr>
          <w:rFonts w:ascii="Palatino Linotype" w:hAnsi="Palatino Linotype" w:cs="Arial"/>
          <w:i/>
          <w:sz w:val="22"/>
          <w:szCs w:val="22"/>
        </w:rPr>
        <w:t xml:space="preserve"> El documento a partir del que se otorga acceso a la información, en el que se testan partes o secciones clasificadas, indicando el contenido </w:t>
      </w:r>
      <w:r w:rsidRPr="00DD59EA">
        <w:rPr>
          <w:rFonts w:ascii="Palatino Linotype" w:hAnsi="Palatino Linotype" w:cs="Arial"/>
          <w:i/>
          <w:sz w:val="22"/>
          <w:szCs w:val="22"/>
        </w:rPr>
        <w:lastRenderedPageBreak/>
        <w:t>de éstas de manera genérica, fundando y motivando la reserva o confidencialidad, a través de la resolución que para tal efecto emita el Comité de Transparencia.</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Cuarto.</w:t>
      </w:r>
      <w:r w:rsidRPr="00DD59EA">
        <w:rPr>
          <w:rFonts w:ascii="Palatino Linotype" w:hAnsi="Palatino Linotype" w:cs="Arial"/>
          <w:i/>
          <w:sz w:val="22"/>
          <w:szCs w:val="22"/>
        </w:rPr>
        <w:t xml:space="preserve"> Para clasificar la información como reservada o confidencial, de manera total o parcial, el titular del área del sujeto obligado deberá atender lo dispuesto por el Título Sexto de la Ley General, en relación con las disposiciones contenidas en los presentes lineamientos, así como en aquellas disposiciones legales aplicables a la materia en el ámbito de sus respectivas competencias, en tanto estas últimas no contravengan lo dispuesto en la Ley General.</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Los sujetos obligados deberán aplicar, de manera estricta, las excepciones al derecho de acceso a la información y sólo podrán invocarlas cuando acrediten su procedencia.</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Quinto.</w:t>
      </w:r>
      <w:r w:rsidRPr="00DD59EA">
        <w:rPr>
          <w:rFonts w:ascii="Palatino Linotype" w:hAnsi="Palatino Linotype" w:cs="Arial"/>
          <w:i/>
          <w:sz w:val="22"/>
          <w:szCs w:val="22"/>
        </w:rPr>
        <w:t xml:space="preserve"> La carga de la prueba para justificar toda negativa de acceso a la información, por actualizarse cualquiera de los supuestos de clasificación previstos en la Ley General, la Ley Federal y leyes estatales, corresponderá a los sujetos obligados, por lo que deberán fundar y motivar debidamente la clasificación de la información ante una solicitud de acceso o al momento en que generen versiones públicas para dar cumplimiento a las obligaciones de transparencia, observando lo dispuesto en la Ley General y las demás disposiciones aplicables en la materia.</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Sexto.</w:t>
      </w:r>
      <w:r w:rsidRPr="00DD59EA">
        <w:rPr>
          <w:rFonts w:ascii="Palatino Linotype" w:hAnsi="Palatino Linotype" w:cs="Arial"/>
          <w:i/>
          <w:sz w:val="22"/>
          <w:szCs w:val="22"/>
        </w:rPr>
        <w:t xml:space="preserve"> Los sujetos obligados no podrán emitir acuerdos de carácter general ni particular que clasifiquen documentos o expedientes como reservados, ni clasificar documentos antes de que se genere la información o cuando éstos no obren en sus archivos.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La clasificación de información se realizará conforme a un análisis caso por caso, mediante la aplicación de la prueba de daño y de interés público.</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Séptimo.</w:t>
      </w:r>
      <w:r w:rsidRPr="00DD59EA">
        <w:rPr>
          <w:rFonts w:ascii="Palatino Linotype" w:hAnsi="Palatino Linotype" w:cs="Arial"/>
          <w:i/>
          <w:sz w:val="22"/>
          <w:szCs w:val="22"/>
        </w:rPr>
        <w:t xml:space="preserve"> La clasificación de la información se llevará a cabo en el momento en que:</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I.</w:t>
      </w:r>
      <w:r w:rsidRPr="00DD59EA">
        <w:rPr>
          <w:rFonts w:ascii="Palatino Linotype" w:hAnsi="Palatino Linotype" w:cs="Arial"/>
          <w:i/>
          <w:sz w:val="22"/>
          <w:szCs w:val="22"/>
        </w:rPr>
        <w:t xml:space="preserve">        Se reciba una solicitud de acceso a la información;</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II.</w:t>
      </w:r>
      <w:r w:rsidRPr="00DD59EA">
        <w:rPr>
          <w:rFonts w:ascii="Palatino Linotype" w:hAnsi="Palatino Linotype" w:cs="Arial"/>
          <w:i/>
          <w:sz w:val="22"/>
          <w:szCs w:val="22"/>
        </w:rPr>
        <w:t xml:space="preserve">       Se determine mediante resolución de autoridad competente, o</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III.</w:t>
      </w:r>
      <w:r w:rsidRPr="00DD59EA">
        <w:rPr>
          <w:rFonts w:ascii="Palatino Linotype" w:hAnsi="Palatino Linotype" w:cs="Arial"/>
          <w:i/>
          <w:sz w:val="22"/>
          <w:szCs w:val="22"/>
        </w:rPr>
        <w:t xml:space="preserve">      Se generen versiones públicas para dar cumplimiento a las obligaciones de transparencia previstas en la Ley General, la Ley Federal y las correspondientes de las entidades federativas.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Los titulares de las áreas deberán revisar la clasificación al momento de la recepción de una solicitud de acceso a la información, para verificar si encuadra en una causal de reserva o de confidencialidad.</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Octavo.</w:t>
      </w:r>
      <w:r w:rsidRPr="00DD59EA">
        <w:rPr>
          <w:rFonts w:ascii="Palatino Linotype" w:hAnsi="Palatino Linotype" w:cs="Arial"/>
          <w:i/>
          <w:sz w:val="22"/>
          <w:szCs w:val="22"/>
        </w:rPr>
        <w:t xml:space="preserve"> Para fundar la clasificación de la información se debe señalar el artículo, fracción, inciso, párrafo o numeral de la ley o tratado internacional suscrito por el Estado mexicano que expresamente le otorga el carácter de reservada o confidencial.</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Para motivar la clasificación se deberán señalar las razones o circunstancias especiales que lo llevaron a concluir que el caso particular se ajusta al supuesto previsto por la norma legal invocada como fundamento.</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lastRenderedPageBreak/>
        <w:t>En caso de referirse a información reservada, la motivación de la clasificación también deberá comprender las circunstancias que justifican el establecimiento de determinado plazo de reserva.</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Tratándose de información clasificada como confidencial respecto de la cual se haya determinado su conservación permanente por tener valor histórico, ésta conservará tal carácter de conformidad con la normativa aplicable en materia de archivos.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Los documentos contenidos en los archivos históricos y los identificados como históricos confidenciales no serán susceptibles de clasificación como reservados.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Noveno.</w:t>
      </w:r>
      <w:r w:rsidRPr="00DD59EA">
        <w:rPr>
          <w:rFonts w:ascii="Palatino Linotype" w:hAnsi="Palatino Linotype" w:cs="Arial"/>
          <w:i/>
          <w:sz w:val="22"/>
          <w:szCs w:val="22"/>
        </w:rPr>
        <w:t xml:space="preserve"> En los casos en que se solicite un documento o expediente que contenga partes o secciones clasificadas, los titulares de las áreas deberán elaborar una versión pública fundando y motivando la clasificación de las partes o secciones que se testen, siguiendo los procedimientos establecidos en el Capítulo IX de los presentes lineamientos.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b/>
          <w:i/>
          <w:sz w:val="22"/>
          <w:szCs w:val="22"/>
        </w:rPr>
        <w:t>Décimo.</w:t>
      </w:r>
      <w:r w:rsidRPr="00DD59EA">
        <w:rPr>
          <w:rFonts w:ascii="Palatino Linotype" w:hAnsi="Palatino Linotype" w:cs="Arial"/>
          <w:i/>
          <w:sz w:val="22"/>
          <w:szCs w:val="22"/>
        </w:rPr>
        <w:t xml:space="preserve"> Los titulares de las áreas, deberán tener conocimiento y llevar un registro del personal que, por la naturaleza de sus atribuciones, tenga acceso a los documentos clasificados. Asimismo, deberán asegurarse de que dicho personal cuente con los conocimientos técnicos y legales que le permitan manejar adecuadamente la información clasificada, en los términos de los Lineamientos para la Organización y Conservación de Archivos.</w:t>
      </w:r>
    </w:p>
    <w:p w:rsidR="005529FA" w:rsidRPr="00DD59EA" w:rsidRDefault="005529FA" w:rsidP="005529FA">
      <w:pPr>
        <w:ind w:left="851" w:right="902"/>
        <w:jc w:val="both"/>
        <w:rPr>
          <w:rFonts w:ascii="Palatino Linotype" w:hAnsi="Palatino Linotype" w:cs="Arial"/>
          <w:i/>
          <w:sz w:val="22"/>
          <w:szCs w:val="22"/>
        </w:rPr>
      </w:pPr>
      <w:r w:rsidRPr="00DD59EA">
        <w:rPr>
          <w:rFonts w:ascii="Palatino Linotype" w:hAnsi="Palatino Linotype" w:cs="Arial"/>
          <w:i/>
          <w:sz w:val="22"/>
          <w:szCs w:val="22"/>
        </w:rPr>
        <w:t>En ausencia de los titulares de las áreas, la información será clasificada o desclasificada por la persona que lo supla, en términos de la normativa que rija la actuación del sujeto obligado.</w:t>
      </w:r>
    </w:p>
    <w:p w:rsidR="005529FA" w:rsidRPr="00DD59EA" w:rsidRDefault="005529FA" w:rsidP="005529FA">
      <w:pPr>
        <w:ind w:left="851" w:right="899"/>
        <w:jc w:val="both"/>
        <w:rPr>
          <w:rFonts w:ascii="Palatino Linotype" w:hAnsi="Palatino Linotype" w:cs="Arial"/>
          <w:b/>
          <w:i/>
          <w:sz w:val="22"/>
          <w:szCs w:val="22"/>
        </w:rPr>
      </w:pPr>
      <w:r w:rsidRPr="00DD59EA">
        <w:rPr>
          <w:rFonts w:ascii="Palatino Linotype" w:hAnsi="Palatino Linotype" w:cs="Arial"/>
          <w:b/>
          <w:i/>
          <w:sz w:val="22"/>
          <w:szCs w:val="22"/>
        </w:rPr>
        <w:t>Décimo primero.</w:t>
      </w:r>
      <w:r w:rsidRPr="00DD59EA">
        <w:rPr>
          <w:rFonts w:ascii="Palatino Linotype" w:hAnsi="Palatino Linotype" w:cs="Arial"/>
          <w:i/>
          <w:sz w:val="22"/>
          <w:szCs w:val="22"/>
        </w:rPr>
        <w:t xml:space="preserve"> En el intercambio de información entre sujetos obligados para el ejercicio de sus atribuciones, los documentos que se encuentren clasificados deberán llevar la leyenda correspondiente de conformidad con lo dispuesto en el Capítulo VIII de los presentes lineamientos.</w:t>
      </w:r>
      <w:r w:rsidRPr="00DD59EA">
        <w:rPr>
          <w:rFonts w:ascii="Palatino Linotype" w:hAnsi="Palatino Linotype" w:cs="Arial"/>
          <w:b/>
          <w:i/>
          <w:sz w:val="22"/>
          <w:szCs w:val="22"/>
        </w:rPr>
        <w:t>”</w:t>
      </w:r>
    </w:p>
    <w:p w:rsidR="005529FA" w:rsidRPr="00DD59EA" w:rsidRDefault="005529FA" w:rsidP="005529FA">
      <w:pPr>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De este modo, en armonía entre los principios constitucionales de máxima publicidad y de protección de datos personales, la ley permite la elaboración de versiones públicas en las que se suprima aquella información relacionada con la vida privada de los particulares.</w:t>
      </w:r>
    </w:p>
    <w:p w:rsidR="005529FA" w:rsidRPr="00DD59EA" w:rsidRDefault="005529FA" w:rsidP="005529FA">
      <w:pPr>
        <w:spacing w:before="100" w:beforeAutospacing="1" w:after="100" w:afterAutospacing="1" w:line="360" w:lineRule="auto"/>
        <w:jc w:val="both"/>
        <w:rPr>
          <w:rFonts w:ascii="Palatino Linotype" w:hAnsi="Palatino Linotype" w:cs="Arial"/>
          <w:lang w:eastAsia="es-CO"/>
        </w:rPr>
      </w:pPr>
      <w:r w:rsidRPr="00DD59EA">
        <w:rPr>
          <w:rFonts w:ascii="Palatino Linotype" w:hAnsi="Palatino Linotype" w:cs="Arial"/>
        </w:rPr>
        <w:t xml:space="preserve">Consecuentemente, se destaca que la versión pública que elabore </w:t>
      </w:r>
      <w:r w:rsidRPr="00DD59EA">
        <w:rPr>
          <w:rFonts w:ascii="Palatino Linotype" w:hAnsi="Palatino Linotype" w:cs="Arial"/>
          <w:b/>
        </w:rPr>
        <w:t>EL SUJETO OBLIGADO</w:t>
      </w:r>
      <w:r w:rsidRPr="00DD59EA">
        <w:rPr>
          <w:rFonts w:ascii="Palatino Linotype" w:hAnsi="Palatino Linotype" w:cs="Arial"/>
        </w:rPr>
        <w:t xml:space="preserve"> debe cumplir con las formalidades exigidas en la Ley, por lo que para tal efecto emitirá el </w:t>
      </w:r>
      <w:r w:rsidRPr="00DD59EA">
        <w:rPr>
          <w:rFonts w:ascii="Palatino Linotype" w:hAnsi="Palatino Linotype" w:cs="Arial"/>
          <w:b/>
        </w:rPr>
        <w:t>Acuerdo del Comité de Transparencia</w:t>
      </w:r>
      <w:r w:rsidRPr="00DD59EA">
        <w:rPr>
          <w:rFonts w:ascii="Palatino Linotype" w:hAnsi="Palatino Linotype" w:cs="Arial"/>
        </w:rPr>
        <w:t xml:space="preserve"> en términos de los artículos </w:t>
      </w:r>
      <w:r w:rsidRPr="00DD59EA">
        <w:rPr>
          <w:rFonts w:ascii="Palatino Linotype" w:hAnsi="Palatino Linotype" w:cs="Arial"/>
        </w:rPr>
        <w:lastRenderedPageBreak/>
        <w:t>122 y 124 de la Ley de Transparencia y Acceso a la Información Pública del Estado de México y Municipios, con el cual sustentará la clasificación de datos y con ello la "versión pública" de los documentos materia de la solicitud</w:t>
      </w:r>
      <w:r w:rsidRPr="00DD59EA">
        <w:rPr>
          <w:rFonts w:ascii="Palatino Linotype" w:hAnsi="Palatino Linotype" w:cs="Arial"/>
          <w:lang w:eastAsia="es-CO"/>
        </w:rPr>
        <w:t>, ya que no hacerlo implica que lo entregado no es legal ni formalmente una versión pública, sino más bien una documentación ilegible, incompleta o tachada; pues no señalar las razones por las que no se aprecian determinados datos -ya sea porque se testan o suprimen- deja al solicitante en estado de incertidumbre, al no conocer o comprender porque no aparecen en la documentación respectiva, es decir, si no se exponen de manera puntual las razones de ello se estaría violentando desde un inicio el derecho de acceso a la información del solicitante.</w:t>
      </w:r>
    </w:p>
    <w:p w:rsidR="00D04D14" w:rsidRPr="00DD59EA" w:rsidRDefault="00D04D14" w:rsidP="00DA47BB">
      <w:pPr>
        <w:spacing w:before="100" w:beforeAutospacing="1" w:after="100" w:afterAutospacing="1" w:line="360" w:lineRule="auto"/>
        <w:jc w:val="both"/>
        <w:rPr>
          <w:rFonts w:ascii="Palatino Linotype" w:hAnsi="Palatino Linotype" w:cs="Arial"/>
        </w:rPr>
      </w:pPr>
      <w:r w:rsidRPr="00DD59EA">
        <w:rPr>
          <w:rFonts w:ascii="Palatino Linotype" w:eastAsia="Arial Unicode MS" w:hAnsi="Palatino Linotype" w:cs="Arial"/>
        </w:rPr>
        <w:t xml:space="preserve">Ahora bien, por cuanto hace a la solicitud de información identificada en el presente estudio con el inciso c), consistente en </w:t>
      </w:r>
      <w:r w:rsidRPr="00DD59EA">
        <w:rPr>
          <w:rFonts w:ascii="Palatino Linotype" w:hAnsi="Palatino Linotype" w:cs="Arial"/>
        </w:rPr>
        <w:t>las razones o motivos por las que existen adeudos en el pago del sueldo del servidor público referido en la solicitud de origen, es necesario precisar que, esta Ponencia Resolutora no entrara al estudio de la misma, toda vez que se trata de un derecho de petición.</w:t>
      </w:r>
    </w:p>
    <w:p w:rsidR="00D04D14" w:rsidRPr="00DD59EA" w:rsidRDefault="00D04D14" w:rsidP="00D04D14">
      <w:pPr>
        <w:autoSpaceDE w:val="0"/>
        <w:autoSpaceDN w:val="0"/>
        <w:adjustRightInd w:val="0"/>
        <w:spacing w:line="360" w:lineRule="auto"/>
        <w:jc w:val="both"/>
        <w:rPr>
          <w:rFonts w:ascii="Palatino Linotype" w:hAnsi="Palatino Linotype" w:cs="Arial"/>
        </w:rPr>
      </w:pPr>
      <w:r w:rsidRPr="00DD59EA">
        <w:rPr>
          <w:rFonts w:ascii="Palatino Linotype" w:hAnsi="Palatino Linotype" w:cs="Arial"/>
        </w:rPr>
        <w:t>En ese tenor, es importante dejar en claro lo que debe entenderse por derecho de petición, así como por derecho de acceso a la información pública, con el objeto de distinguir el ejercicio de ambos derechos.</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Por lo que respecta a la definición de Derecho de Petición, el Maestro Ignacio Burgoa Orihuela refiere: </w:t>
      </w:r>
    </w:p>
    <w:p w:rsidR="00D04D14" w:rsidRPr="00DD59EA" w:rsidRDefault="00D04D14" w:rsidP="00D04D14">
      <w:pPr>
        <w:tabs>
          <w:tab w:val="left" w:pos="9214"/>
        </w:tabs>
        <w:ind w:left="709" w:right="709"/>
        <w:jc w:val="both"/>
        <w:rPr>
          <w:rFonts w:ascii="Palatino Linotype" w:hAnsi="Palatino Linotype"/>
          <w:sz w:val="22"/>
          <w:lang w:eastAsia="es-MX"/>
        </w:rPr>
      </w:pPr>
      <w:r w:rsidRPr="00DD59EA">
        <w:rPr>
          <w:rFonts w:ascii="Palatino Linotype" w:hAnsi="Palatino Linotype"/>
          <w:i/>
          <w:sz w:val="22"/>
          <w:lang w:eastAsia="es-MX"/>
        </w:rPr>
        <w:t xml:space="preserve">“… es un Derecho Público subjetivo individual de la Garantía Respectiva Consagrada en el Artículo 8 de la Ley Fundamental. En tal virtud, la persona tiene la facultad de acudir a cualquier autoridad, formulando una solicitud o instancia escrito de cualquier </w:t>
      </w:r>
      <w:r w:rsidRPr="00DD59EA">
        <w:rPr>
          <w:rFonts w:ascii="Palatino Linotype" w:hAnsi="Palatino Linotype"/>
          <w:i/>
          <w:sz w:val="22"/>
          <w:lang w:eastAsia="es-MX"/>
        </w:rPr>
        <w:lastRenderedPageBreak/>
        <w:t>índole, la cual adopta, específicamente, el carácter de simple petición administrativa, acción o recurso, etc…“(</w:t>
      </w:r>
      <w:r w:rsidRPr="00DD59EA">
        <w:rPr>
          <w:rFonts w:ascii="Palatino Linotype" w:hAnsi="Palatino Linotype"/>
          <w:sz w:val="22"/>
          <w:lang w:eastAsia="es-MX"/>
        </w:rPr>
        <w:t>Sic)</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Por su parte, David Cienfuegos Salgado, concibe al derecho de petición como: </w:t>
      </w:r>
    </w:p>
    <w:p w:rsidR="00D04D14" w:rsidRPr="00DD59EA" w:rsidRDefault="00D04D14" w:rsidP="00D04D14">
      <w:pPr>
        <w:tabs>
          <w:tab w:val="left" w:pos="9214"/>
        </w:tabs>
        <w:ind w:left="709" w:right="709"/>
        <w:jc w:val="both"/>
        <w:rPr>
          <w:rFonts w:ascii="Palatino Linotype" w:hAnsi="Palatino Linotype"/>
          <w:sz w:val="22"/>
          <w:lang w:eastAsia="es-MX"/>
        </w:rPr>
      </w:pPr>
      <w:r w:rsidRPr="00DD59EA">
        <w:rPr>
          <w:rFonts w:ascii="Palatino Linotype" w:hAnsi="Palatino Linotype"/>
          <w:i/>
          <w:sz w:val="22"/>
          <w:lang w:eastAsia="es-MX"/>
        </w:rPr>
        <w:t xml:space="preserve">“… el derecho de toda persona a ser escuchado por quienes ejercen el poder público...” </w:t>
      </w:r>
      <w:r w:rsidRPr="00DD59EA">
        <w:rPr>
          <w:rFonts w:ascii="Palatino Linotype" w:hAnsi="Palatino Linotype"/>
          <w:sz w:val="22"/>
          <w:lang w:eastAsia="es-MX"/>
        </w:rPr>
        <w:t xml:space="preserve">(Sic) </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Para diferenciar el derecho de petición, del derecho de acceso a la información, resulta conducente señalar que José Guadalupe Robles, conceptualiza al derecho a la información como: </w:t>
      </w:r>
    </w:p>
    <w:p w:rsidR="00D04D14" w:rsidRPr="00DD59EA" w:rsidRDefault="00D04D14" w:rsidP="00D04D14">
      <w:pPr>
        <w:tabs>
          <w:tab w:val="left" w:pos="9214"/>
        </w:tabs>
        <w:ind w:left="709" w:right="709"/>
        <w:jc w:val="both"/>
        <w:rPr>
          <w:rFonts w:ascii="Palatino Linotype" w:hAnsi="Palatino Linotype"/>
          <w:i/>
          <w:sz w:val="22"/>
          <w:lang w:eastAsia="es-MX"/>
        </w:rPr>
      </w:pPr>
      <w:r w:rsidRPr="00DD59EA">
        <w:rPr>
          <w:rFonts w:ascii="Palatino Linotype" w:hAnsi="Palatino Linotype"/>
          <w:i/>
          <w:sz w:val="22"/>
          <w:lang w:eastAsia="es-MX"/>
        </w:rPr>
        <w:t xml:space="preserve">“… un derecho fundamental tanto de carácter individual como colectivo, cuyas limitaciones deben estar establecidas en la ley, así como una garantía de que la información sea transmitida con claridad y objetividad, por cuanto a que es un bien jurídico que coadyuva al desarrollo de las personas y a la formación de opinión pública de calidad para poder participar y luego influir en la vida pública…” </w:t>
      </w:r>
      <w:r w:rsidRPr="00DD59EA">
        <w:rPr>
          <w:rFonts w:ascii="Palatino Linotype" w:hAnsi="Palatino Linotype"/>
          <w:sz w:val="22"/>
          <w:lang w:eastAsia="es-MX"/>
        </w:rPr>
        <w:t>(Sic)</w:t>
      </w:r>
      <w:r w:rsidRPr="00DD59EA">
        <w:rPr>
          <w:rFonts w:ascii="Palatino Linotype" w:hAnsi="Palatino Linotype"/>
          <w:i/>
          <w:sz w:val="22"/>
          <w:lang w:eastAsia="es-MX"/>
        </w:rPr>
        <w:t xml:space="preserve"> </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De ahí que, el derecho </w:t>
      </w:r>
      <w:r w:rsidRPr="00DD59EA">
        <w:rPr>
          <w:rFonts w:ascii="Palatino Linotype" w:hAnsi="Palatino Linotype"/>
        </w:rPr>
        <w:t xml:space="preserve">de acceso a la información pública por disposición del artículo 4 de la Ley de Transparencia y Acceso a la Información Pública del Estado de México y Municipios </w:t>
      </w:r>
      <w:r w:rsidRPr="00DD59EA">
        <w:rPr>
          <w:rFonts w:ascii="Palatino Linotype" w:hAnsi="Palatino Linotype"/>
          <w:b/>
        </w:rPr>
        <w:t>es la prerrogativa de las personas para buscar, difundir, investigar, recabar, recibir y solicitar información pública</w:t>
      </w:r>
      <w:r w:rsidRPr="00DD59EA">
        <w:rPr>
          <w:rFonts w:ascii="Palatino Linotype" w:hAnsi="Palatino Linotype"/>
        </w:rPr>
        <w:t>; e</w:t>
      </w:r>
      <w:r w:rsidRPr="00DD59EA">
        <w:rPr>
          <w:rFonts w:ascii="Palatino Linotype" w:hAnsi="Palatino Linotype" w:cs="Arial"/>
        </w:rPr>
        <w:t xml:space="preserve">s por ello que, el derecho de acceso a la información pública, implica el conocimiento de los particulares de la información contenida en los documentos que posean los órganos del Estado; incluso, se impone la obligación a las autoridades de preservar sus documentos en archivos administrativos actualizados. </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Por lo tanto, para que los Sujetos Obligados hagan efectivo este derecho deben poner a disposición de los particulares los documentos en los que conste el ejercicio de sus atribuciones legales o que por cualquier circunstancia obre en sus archivos, en virtud </w:t>
      </w:r>
      <w:r w:rsidRPr="00DD59EA">
        <w:rPr>
          <w:rFonts w:ascii="Palatino Linotype" w:hAnsi="Palatino Linotype" w:cs="Arial"/>
        </w:rPr>
        <w:lastRenderedPageBreak/>
        <w:t xml:space="preserve">de que </w:t>
      </w:r>
      <w:r w:rsidRPr="00DD59EA">
        <w:rPr>
          <w:rFonts w:ascii="Palatino Linotype" w:hAnsi="Palatino Linotype" w:cs="Arial"/>
          <w:b/>
        </w:rPr>
        <w:t>toda la información generada, obtenida, adquirida, transformada, administrada o en posesión de los Sujetos Obligados es pública y accesible de manera permanente</w:t>
      </w:r>
      <w:r w:rsidRPr="00DD59EA">
        <w:rPr>
          <w:rFonts w:ascii="Palatino Linotype" w:hAnsi="Palatino Linotype" w:cs="Arial"/>
        </w:rPr>
        <w:t xml:space="preserve"> en los términos y condiciones que se establezcan en los tratados internacionales de los que el Estado Mexicano sea parte, en la Ley de Transparencia y Acceso a la Información Pública del Estado de México y Municipios y demás disposiciones de la materia, privilegiando el principio de máxima publicidad de la información. </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En esa tesitura, los Sujetos Obligados deberán poner en práctica políticas y programas de acceso a la información que se apeguen a criterios de publicidad, veracidad, oportunidad, precisión y suficiencia en beneficio de los solicitantes; ello, tiene sustento en los artículos 3 fracciones XI y XXII; 4; 11, y 12 de la Ley de Transparencia y Acceso a la Información Pública del Estado de México y Municipios que se citan a continuación:</w:t>
      </w: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 xml:space="preserve">“Artículo 3. Para los efectos </w:t>
      </w:r>
      <w:r w:rsidRPr="00DD59EA">
        <w:rPr>
          <w:rFonts w:ascii="Palatino Linotype" w:hAnsi="Palatino Linotype" w:cs="Arial"/>
          <w:b/>
          <w:i/>
          <w:sz w:val="22"/>
        </w:rPr>
        <w:t>de</w:t>
      </w:r>
      <w:r w:rsidRPr="00DD59EA">
        <w:rPr>
          <w:rFonts w:ascii="Palatino Linotype" w:hAnsi="Palatino Linotype" w:cs="Arial"/>
          <w:b/>
          <w:bCs/>
          <w:i/>
          <w:sz w:val="22"/>
        </w:rPr>
        <w:t xml:space="preserve"> la presente Ley se entenderá por: </w:t>
      </w:r>
      <w:r w:rsidRPr="00DD59EA">
        <w:rPr>
          <w:rFonts w:ascii="Palatino Linotype" w:hAnsi="Palatino Linotype" w:cs="Arial"/>
          <w:bCs/>
          <w:i/>
          <w:sz w:val="22"/>
        </w:rPr>
        <w:t>…</w:t>
      </w: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Cs/>
          <w:i/>
          <w:sz w:val="22"/>
        </w:rPr>
        <w:t>…</w:t>
      </w: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XI. Documento:</w:t>
      </w:r>
      <w:r w:rsidRPr="00DD59EA">
        <w:rPr>
          <w:rFonts w:ascii="Palatino Linotype" w:hAnsi="Palatino Linotype" w:cs="Arial"/>
          <w:bCs/>
          <w:i/>
          <w:sz w:val="22"/>
        </w:rPr>
        <w:t xml:space="preserve">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w:t>
      </w:r>
      <w:r w:rsidRPr="00DD59EA">
        <w:rPr>
          <w:rFonts w:ascii="Palatino Linotype" w:hAnsi="Palatino Linotype" w:cs="Arial"/>
          <w:i/>
          <w:color w:val="000000"/>
          <w:sz w:val="22"/>
        </w:rPr>
        <w:t>servidores</w:t>
      </w:r>
      <w:r w:rsidRPr="00DD59EA">
        <w:rPr>
          <w:rFonts w:ascii="Palatino Linotype" w:hAnsi="Palatino Linotype" w:cs="Arial"/>
          <w:bCs/>
          <w:i/>
          <w:sz w:val="22"/>
        </w:rPr>
        <w:t xml:space="preserve"> públicos e integrantes, sin importar su fuente o fecha de elaboración. Los documentos podrán estar en cualquier medio, sea escrito, impreso, sonoro, visual, electrónico, informático u holográfico; </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XII. Documento electrónico</w:t>
      </w:r>
      <w:r w:rsidRPr="00DD59EA">
        <w:rPr>
          <w:rFonts w:ascii="Palatino Linotype" w:hAnsi="Palatino Linotype" w:cs="Arial"/>
          <w:bCs/>
          <w:i/>
          <w:sz w:val="22"/>
        </w:rPr>
        <w:t>: Al soporte escrito con caracteres alfanuméricos, archivo de imagen, video, audio o cualquier otro formato tecnológicamente disponible, que contenga información en lenguaje natural o convencional, intercambiado por medios electrónicos, con el que sea posible dar constancia de un hecho y que esté signado con la firma electrónica avanzada y/o en el que se encuentre plasmado el sello electrónico;</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Artículo 4.</w:t>
      </w:r>
      <w:r w:rsidRPr="00DD59EA">
        <w:rPr>
          <w:rFonts w:ascii="Palatino Linotype" w:hAnsi="Palatino Linotype" w:cs="Arial"/>
          <w:bCs/>
          <w:i/>
          <w:sz w:val="22"/>
        </w:rPr>
        <w:t xml:space="preserve"> </w:t>
      </w:r>
      <w:r w:rsidRPr="00DD59EA">
        <w:rPr>
          <w:rFonts w:ascii="Palatino Linotype" w:hAnsi="Palatino Linotype" w:cs="Arial"/>
          <w:b/>
          <w:bCs/>
          <w:i/>
          <w:sz w:val="22"/>
        </w:rPr>
        <w:t>El derecho humano de acceso a la información pública es la prerrogativa de las personas para buscar, difundir, investigar, recabar, recibir y solicitar información pública</w:t>
      </w:r>
      <w:r w:rsidRPr="00DD59EA">
        <w:rPr>
          <w:rFonts w:ascii="Palatino Linotype" w:hAnsi="Palatino Linotype" w:cs="Arial"/>
          <w:bCs/>
          <w:i/>
          <w:sz w:val="22"/>
        </w:rPr>
        <w:t xml:space="preserve">, sin necesidad de acreditar personalidad ni interés jurídico. </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Cs/>
          <w:i/>
          <w:sz w:val="22"/>
        </w:rPr>
        <w:t xml:space="preserve">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w:t>
      </w:r>
      <w:r w:rsidRPr="00DD59EA">
        <w:rPr>
          <w:rFonts w:ascii="Palatino Linotype" w:hAnsi="Palatino Linotype" w:cs="Arial"/>
          <w:i/>
          <w:color w:val="000000"/>
          <w:sz w:val="22"/>
        </w:rPr>
        <w:t>información</w:t>
      </w:r>
      <w:r w:rsidRPr="00DD59EA">
        <w:rPr>
          <w:rFonts w:ascii="Palatino Linotype" w:hAnsi="Palatino Linotype" w:cs="Arial"/>
          <w:bCs/>
          <w:i/>
          <w:sz w:val="22"/>
        </w:rPr>
        <w:t xml:space="preserve">. Solo podrá ser clasificada excepcionalmente como reservada temporalmente por razones de interés público, en los términos de las causas legítimas y estrictamente necesarias previstas por esta Ley. </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Cs/>
          <w:i/>
          <w:sz w:val="22"/>
        </w:rPr>
        <w:t xml:space="preserve">Los sujetos obligados deben poner en práctica, políticas y programas de acceso a la información que se apeguen a criterios de publicidad, veracidad, oportunidad, precisión y suficiencia en beneficio de los solicitantes. </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Artículo 11.-</w:t>
      </w:r>
      <w:r w:rsidRPr="00DD59EA">
        <w:rPr>
          <w:rFonts w:ascii="Palatino Linotype" w:hAnsi="Palatino Linotype" w:cs="Arial"/>
          <w:bCs/>
          <w:i/>
          <w:sz w:val="22"/>
        </w:rPr>
        <w:t xml:space="preserve"> </w:t>
      </w:r>
      <w:r w:rsidRPr="00DD59EA">
        <w:rPr>
          <w:rFonts w:ascii="Palatino Linotype" w:hAnsi="Palatino Linotype" w:cs="Arial"/>
          <w:b/>
          <w:bCs/>
          <w:i/>
          <w:sz w:val="22"/>
        </w:rPr>
        <w:t>Los Sujetos Obligados sólo proporcionarán la información que generen en el ejercicio de sus atribuciones</w:t>
      </w:r>
      <w:r w:rsidRPr="00DD59EA">
        <w:rPr>
          <w:rFonts w:ascii="Palatino Linotype" w:hAnsi="Palatino Linotype" w:cs="Arial"/>
          <w:bCs/>
          <w:i/>
          <w:sz w:val="22"/>
        </w:rPr>
        <w:t>.</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Artículo 12.</w:t>
      </w:r>
      <w:r w:rsidRPr="00DD59EA">
        <w:rPr>
          <w:rFonts w:ascii="Palatino Linotype" w:hAnsi="Palatino Linotype" w:cs="Arial"/>
          <w:bCs/>
          <w:i/>
          <w:sz w:val="22"/>
        </w:rPr>
        <w:t xml:space="preserve"> Quienes generen, recopilen, administren, manejen, procesen, archiven o conserven información pública</w:t>
      </w:r>
      <w:r w:rsidRPr="00DD59EA">
        <w:rPr>
          <w:rFonts w:ascii="Palatino Linotype" w:hAnsi="Palatino Linotype" w:cs="Arial"/>
          <w:b/>
          <w:bCs/>
          <w:i/>
          <w:sz w:val="22"/>
        </w:rPr>
        <w:t xml:space="preserve"> </w:t>
      </w:r>
      <w:r w:rsidRPr="00DD59EA">
        <w:rPr>
          <w:rFonts w:ascii="Palatino Linotype" w:hAnsi="Palatino Linotype" w:cs="Arial"/>
          <w:bCs/>
          <w:i/>
          <w:sz w:val="22"/>
        </w:rPr>
        <w:t xml:space="preserve">serán responsables de la misma en los términos de las disposiciones jurídicas </w:t>
      </w:r>
      <w:r w:rsidRPr="00DD59EA">
        <w:rPr>
          <w:rFonts w:ascii="Palatino Linotype" w:hAnsi="Palatino Linotype" w:cs="Arial"/>
          <w:i/>
          <w:color w:val="000000"/>
          <w:sz w:val="22"/>
        </w:rPr>
        <w:t>aplicables</w:t>
      </w:r>
      <w:r w:rsidRPr="00DD59EA">
        <w:rPr>
          <w:rFonts w:ascii="Palatino Linotype" w:hAnsi="Palatino Linotype" w:cs="Arial"/>
          <w:bCs/>
          <w:i/>
          <w:sz w:val="22"/>
        </w:rPr>
        <w:t xml:space="preserve">. </w:t>
      </w:r>
    </w:p>
    <w:p w:rsidR="00D04D14" w:rsidRPr="00DD59EA" w:rsidRDefault="00D04D14" w:rsidP="00D04D14">
      <w:pPr>
        <w:ind w:left="851" w:right="899"/>
        <w:jc w:val="both"/>
        <w:rPr>
          <w:rFonts w:ascii="Palatino Linotype" w:hAnsi="Palatino Linotype" w:cs="Arial"/>
          <w:bCs/>
          <w:i/>
          <w:sz w:val="22"/>
        </w:rPr>
      </w:pPr>
    </w:p>
    <w:p w:rsidR="00D04D14" w:rsidRPr="00DD59EA" w:rsidRDefault="00D04D14" w:rsidP="00D04D14">
      <w:pPr>
        <w:ind w:left="851" w:right="899"/>
        <w:jc w:val="both"/>
        <w:rPr>
          <w:rFonts w:ascii="Palatino Linotype" w:hAnsi="Palatino Linotype" w:cs="Arial"/>
          <w:bCs/>
          <w:i/>
          <w:sz w:val="22"/>
        </w:rPr>
      </w:pPr>
      <w:r w:rsidRPr="00DD59EA">
        <w:rPr>
          <w:rFonts w:ascii="Palatino Linotype" w:hAnsi="Palatino Linotype" w:cs="Arial"/>
          <w:b/>
          <w:bCs/>
          <w:i/>
          <w:sz w:val="22"/>
        </w:rPr>
        <w:t>Los sujetos obligados sólo proporcionarán la información pública que se les requiera y que obre en sus archivos</w:t>
      </w:r>
      <w:r w:rsidRPr="00DD59EA">
        <w:rPr>
          <w:rFonts w:ascii="Palatino Linotype" w:hAnsi="Palatino Linotype" w:cs="Arial"/>
          <w:bCs/>
          <w:i/>
          <w:sz w:val="22"/>
        </w:rPr>
        <w:t xml:space="preserve"> y en el estado en que ésta se encuentre. La obligación de proporcionar información no comprende el procesamiento de la misma, ni el presentarla conforme al interés del solicitante; no estarán obligados a generarla, resumirla, efectuar cálculos o practicar investigaciones.” </w:t>
      </w:r>
    </w:p>
    <w:p w:rsidR="00D04D14" w:rsidRPr="00DD59EA" w:rsidRDefault="00D04D14" w:rsidP="00D04D14">
      <w:pPr>
        <w:ind w:left="851" w:right="899"/>
        <w:jc w:val="both"/>
        <w:rPr>
          <w:rFonts w:ascii="Palatino Linotype" w:hAnsi="Palatino Linotype" w:cs="Arial"/>
          <w:bCs/>
          <w:i/>
          <w:sz w:val="14"/>
          <w:szCs w:val="14"/>
        </w:rPr>
      </w:pPr>
    </w:p>
    <w:p w:rsidR="00D04D14" w:rsidRPr="00DD59EA" w:rsidRDefault="00D04D14" w:rsidP="00D04D14">
      <w:pPr>
        <w:ind w:left="851" w:right="899"/>
        <w:jc w:val="both"/>
        <w:rPr>
          <w:rFonts w:ascii="Palatino Linotype" w:hAnsi="Palatino Linotype" w:cs="Arial"/>
          <w:color w:val="000000"/>
          <w:sz w:val="22"/>
        </w:rPr>
      </w:pPr>
      <w:r w:rsidRPr="00DD59EA">
        <w:rPr>
          <w:rFonts w:ascii="Palatino Linotype" w:hAnsi="Palatino Linotype" w:cs="Arial"/>
          <w:color w:val="000000"/>
          <w:sz w:val="22"/>
        </w:rPr>
        <w:t>(Énfasis añadido)</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 xml:space="preserve">En ese contexto, de una interpretación sistemática de los artículos anteriores se puede advertir que </w:t>
      </w:r>
      <w:r w:rsidRPr="00DD59EA">
        <w:rPr>
          <w:rFonts w:ascii="Palatino Linotype" w:hAnsi="Palatino Linotype" w:cs="Arial"/>
          <w:b/>
        </w:rPr>
        <w:t xml:space="preserve">el ejercicio del derecho de acceso a la información pública se centra en la potestad de los particulares para conocer el contenido de los documentos que </w:t>
      </w:r>
      <w:r w:rsidRPr="00DD59EA">
        <w:rPr>
          <w:rFonts w:ascii="Palatino Linotype" w:hAnsi="Palatino Linotype" w:cs="Arial"/>
          <w:b/>
        </w:rPr>
        <w:lastRenderedPageBreak/>
        <w:t>obren en los archivos de los Sujetos Obligados, ya sea porque los generen en el ejercicio de sus atribuciones, los administren o simplemente los posean</w:t>
      </w:r>
      <w:r w:rsidRPr="00DD59EA">
        <w:rPr>
          <w:rFonts w:ascii="Palatino Linotype" w:hAnsi="Palatino Linotype" w:cs="Arial"/>
        </w:rPr>
        <w:t>.</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rPr>
      </w:pPr>
      <w:r w:rsidRPr="00DD59EA">
        <w:rPr>
          <w:rFonts w:ascii="Palatino Linotype" w:hAnsi="Palatino Linotype" w:cs="Arial"/>
        </w:rPr>
        <w:t>Para ello, la Ley de la materia otorga la calidad de documento a los 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w:t>
      </w:r>
    </w:p>
    <w:p w:rsidR="00D04D14" w:rsidRPr="00DD59EA" w:rsidRDefault="00D04D14" w:rsidP="00D04D14">
      <w:pPr>
        <w:autoSpaceDE w:val="0"/>
        <w:autoSpaceDN w:val="0"/>
        <w:adjustRightInd w:val="0"/>
        <w:spacing w:before="100" w:beforeAutospacing="1" w:after="100" w:afterAutospacing="1" w:line="360" w:lineRule="auto"/>
        <w:jc w:val="both"/>
        <w:rPr>
          <w:rFonts w:ascii="Palatino Linotype" w:hAnsi="Palatino Linotype" w:cs="Arial"/>
          <w:b/>
        </w:rPr>
      </w:pPr>
      <w:r w:rsidRPr="00DD59EA">
        <w:rPr>
          <w:rFonts w:ascii="Palatino Linotype" w:hAnsi="Palatino Linotype" w:cs="Arial"/>
        </w:rPr>
        <w:t xml:space="preserve">Por otro lado, así como la Constitución y la Ley de la materia </w:t>
      </w:r>
      <w:r w:rsidRPr="00DD59EA">
        <w:rPr>
          <w:rFonts w:ascii="Palatino Linotype" w:hAnsi="Palatino Linotype" w:cs="Arial"/>
          <w:b/>
        </w:rPr>
        <w:t>otorgan a los particulares el derecho de acceder a los documentos generados o en posesión de las autoridades; también lo es que, la obligación de proporcionar información no comprende el procesamiento de la misma, ni el presentarla conforme al interés del solicitante ya que no estarán constreñidos a generarla, resumirla, efectuar cálculos o practicar investigaciones.</w:t>
      </w:r>
    </w:p>
    <w:p w:rsidR="00D04D14" w:rsidRPr="00DD59EA" w:rsidRDefault="00D04D14" w:rsidP="00D04D14">
      <w:pPr>
        <w:spacing w:before="100" w:beforeAutospacing="1" w:after="100" w:afterAutospacing="1" w:line="360" w:lineRule="auto"/>
        <w:jc w:val="both"/>
        <w:rPr>
          <w:rFonts w:ascii="Palatino Linotype" w:hAnsi="Palatino Linotype" w:cs="Arial"/>
          <w:b/>
        </w:rPr>
      </w:pPr>
      <w:r w:rsidRPr="00DD59EA">
        <w:rPr>
          <w:rFonts w:ascii="Palatino Linotype" w:hAnsi="Palatino Linotype" w:cs="Arial"/>
        </w:rPr>
        <w:t xml:space="preserve">En síntesis, el derecho de acceso a la información pública se satisface en aquellos casos en que se entregue el soporte documental en que conste lo solicitado por </w:t>
      </w:r>
      <w:r w:rsidRPr="00DD59EA">
        <w:rPr>
          <w:rFonts w:ascii="Palatino Linotype" w:hAnsi="Palatino Linotype" w:cs="Arial"/>
          <w:b/>
        </w:rPr>
        <w:t>LA RECURRENTE</w:t>
      </w:r>
      <w:r w:rsidRPr="00DD59EA">
        <w:rPr>
          <w:rFonts w:ascii="Palatino Linotype" w:hAnsi="Palatino Linotype" w:cs="Arial"/>
        </w:rPr>
        <w:t xml:space="preserve">, toda vez que se encuentre en posesión del </w:t>
      </w:r>
      <w:r w:rsidRPr="00DD59EA">
        <w:rPr>
          <w:rFonts w:ascii="Palatino Linotype" w:hAnsi="Palatino Linotype" w:cs="Arial"/>
          <w:b/>
        </w:rPr>
        <w:t>SUJETO OBLIGADO</w:t>
      </w:r>
      <w:r w:rsidRPr="00DD59EA">
        <w:rPr>
          <w:rFonts w:ascii="Palatino Linotype" w:hAnsi="Palatino Linotype" w:cs="Arial"/>
        </w:rPr>
        <w:t>, ya que</w:t>
      </w:r>
      <w:r w:rsidRPr="00DD59EA">
        <w:rPr>
          <w:rFonts w:ascii="Palatino Linotype" w:hAnsi="Palatino Linotype" w:cs="Arial"/>
          <w:b/>
        </w:rPr>
        <w:t xml:space="preserve"> no tienen el deber de generar, poseer o administrar la información pública con el grado de detalle que fue requerido por la particular;</w:t>
      </w:r>
      <w:r w:rsidRPr="00DD59EA">
        <w:rPr>
          <w:rFonts w:ascii="Palatino Linotype" w:hAnsi="Palatino Linotype" w:cs="Arial"/>
        </w:rPr>
        <w:t xml:space="preserve"> esto es, que </w:t>
      </w:r>
      <w:r w:rsidRPr="00DD59EA">
        <w:rPr>
          <w:rFonts w:ascii="Palatino Linotype" w:hAnsi="Palatino Linotype" w:cs="Arial"/>
          <w:b/>
        </w:rPr>
        <w:t xml:space="preserve">no tienen el deber </w:t>
      </w:r>
      <w:r w:rsidRPr="00DD59EA">
        <w:rPr>
          <w:rFonts w:ascii="Palatino Linotype" w:hAnsi="Palatino Linotype" w:cs="Arial"/>
          <w:b/>
        </w:rPr>
        <w:lastRenderedPageBreak/>
        <w:t xml:space="preserve">de generar un documento </w:t>
      </w:r>
      <w:r w:rsidRPr="00DD59EA">
        <w:rPr>
          <w:rFonts w:ascii="Palatino Linotype" w:hAnsi="Palatino Linotype" w:cs="Arial"/>
          <w:b/>
          <w:i/>
        </w:rPr>
        <w:t>ad hoc</w:t>
      </w:r>
      <w:r w:rsidRPr="00DD59EA">
        <w:rPr>
          <w:rStyle w:val="Refdenotaalpie"/>
          <w:rFonts w:ascii="Palatino Linotype" w:hAnsi="Palatino Linotype" w:cs="Arial"/>
          <w:b/>
        </w:rPr>
        <w:footnoteReference w:id="5"/>
      </w:r>
      <w:r w:rsidRPr="00DD59EA">
        <w:rPr>
          <w:rFonts w:ascii="Palatino Linotype" w:hAnsi="Palatino Linotype" w:cs="Arial"/>
          <w:b/>
        </w:rPr>
        <w:t>, a fin de satisfacer los requerimientos de los particulares.</w:t>
      </w:r>
    </w:p>
    <w:p w:rsidR="00D42913" w:rsidRPr="00DD59EA" w:rsidRDefault="00D42913" w:rsidP="00D42913">
      <w:pPr>
        <w:autoSpaceDE w:val="0"/>
        <w:autoSpaceDN w:val="0"/>
        <w:adjustRightInd w:val="0"/>
        <w:spacing w:before="120" w:after="120" w:line="360" w:lineRule="auto"/>
        <w:jc w:val="both"/>
        <w:rPr>
          <w:rFonts w:ascii="Palatino Linotype" w:hAnsi="Palatino Linotype" w:cs="Arial"/>
          <w:b/>
        </w:rPr>
      </w:pPr>
      <w:r w:rsidRPr="00DD59EA">
        <w:rPr>
          <w:rFonts w:ascii="Palatino Linotype" w:hAnsi="Palatino Linotype" w:cs="Arial"/>
        </w:rPr>
        <w:t xml:space="preserve">De lo anterior, se puede concluir que la distinción entre el derecho de petición y el derecho de acceso a la información estriba principalmente en que en el primero de ellos, </w:t>
      </w:r>
      <w:r w:rsidRPr="00DD59EA">
        <w:rPr>
          <w:rFonts w:ascii="Palatino Linotype" w:hAnsi="Palatino Linotype" w:cs="Arial"/>
          <w:color w:val="000000"/>
          <w:lang w:eastAsia="es-MX"/>
        </w:rPr>
        <w:t xml:space="preserve">la pretensión del peticionario consiste generalmente en obligar a la autoridad responsable a que actúe en el sentido de contestar lo solicitado, mientras que en el </w:t>
      </w:r>
      <w:r w:rsidRPr="00DD59EA">
        <w:rPr>
          <w:rFonts w:ascii="Palatino Linotype" w:hAnsi="Palatino Linotype" w:cs="Arial"/>
          <w:bCs/>
          <w:lang w:eastAsia="es-CO"/>
        </w:rPr>
        <w:t xml:space="preserve">segundo supuesto </w:t>
      </w:r>
      <w:r w:rsidRPr="00DD59EA">
        <w:rPr>
          <w:rFonts w:ascii="Palatino Linotype" w:hAnsi="Palatino Linotype" w:cs="Arial"/>
          <w:b/>
          <w:bCs/>
          <w:lang w:eastAsia="es-CO"/>
        </w:rPr>
        <w:t>la solicitud de acceso a la información pública se encamina primordialmente a</w:t>
      </w:r>
      <w:r w:rsidRPr="00DD59EA">
        <w:rPr>
          <w:rFonts w:ascii="Palatino Linotype" w:hAnsi="Palatino Linotype" w:cs="Arial"/>
          <w:b/>
        </w:rPr>
        <w:t xml:space="preserve"> permitir el </w:t>
      </w:r>
      <w:r w:rsidRPr="00DD59EA">
        <w:rPr>
          <w:rFonts w:ascii="Palatino Linotype" w:hAnsi="Palatino Linotype" w:cs="Arial"/>
          <w:b/>
          <w:lang w:eastAsia="es-CO"/>
        </w:rPr>
        <w:t xml:space="preserve">acceso a datos, registros y todo tipo de información pública que conste en documentos, sea generada o se encuentre en posesión de </w:t>
      </w:r>
      <w:r w:rsidRPr="00DD59EA">
        <w:rPr>
          <w:rFonts w:ascii="Palatino Linotype" w:hAnsi="Palatino Linotype" w:cs="Arial"/>
          <w:b/>
        </w:rPr>
        <w:t xml:space="preserve">la autoridad. </w:t>
      </w:r>
    </w:p>
    <w:p w:rsidR="00D42913" w:rsidRPr="00DD59EA" w:rsidRDefault="00D42913" w:rsidP="00D42913">
      <w:pPr>
        <w:autoSpaceDE w:val="0"/>
        <w:autoSpaceDN w:val="0"/>
        <w:adjustRightInd w:val="0"/>
        <w:spacing w:before="120" w:after="120" w:line="360" w:lineRule="auto"/>
        <w:jc w:val="both"/>
        <w:rPr>
          <w:rFonts w:ascii="Palatino Linotype" w:hAnsi="Palatino Linotype" w:cs="Arial"/>
        </w:rPr>
      </w:pPr>
      <w:r w:rsidRPr="00DD59EA">
        <w:rPr>
          <w:rFonts w:ascii="Palatino Linotype" w:hAnsi="Palatino Linotype" w:cs="Arial"/>
        </w:rPr>
        <w:t xml:space="preserve">Debe señalarse entonces, que en la solicitud de información presentada en </w:t>
      </w:r>
      <w:r w:rsidRPr="00DD59EA">
        <w:rPr>
          <w:rFonts w:ascii="Palatino Linotype" w:hAnsi="Palatino Linotype" w:cs="Arial"/>
          <w:b/>
        </w:rPr>
        <w:t>EL SAIMEX,</w:t>
      </w:r>
      <w:r w:rsidRPr="00DD59EA">
        <w:rPr>
          <w:rFonts w:ascii="Palatino Linotype" w:hAnsi="Palatino Linotype" w:cs="Arial"/>
        </w:rPr>
        <w:t xml:space="preserve"> la particular requiere una razón, o bien, un razonamiento por parte de </w:t>
      </w:r>
      <w:r w:rsidRPr="00DD59EA">
        <w:rPr>
          <w:rFonts w:ascii="Palatino Linotype" w:hAnsi="Palatino Linotype" w:cs="Arial"/>
          <w:b/>
        </w:rPr>
        <w:t>EL SUJETO OBLIGADO</w:t>
      </w:r>
      <w:r w:rsidRPr="00DD59EA">
        <w:rPr>
          <w:rFonts w:ascii="Palatino Linotype" w:hAnsi="Palatino Linotype" w:cs="Arial"/>
        </w:rPr>
        <w:t xml:space="preserve"> mediante la realización de un </w:t>
      </w:r>
      <w:r w:rsidRPr="00DD59EA">
        <w:rPr>
          <w:rFonts w:ascii="Palatino Linotype" w:hAnsi="Palatino Linotype" w:cs="Arial"/>
          <w:b/>
        </w:rPr>
        <w:t>cuestionamiento</w:t>
      </w:r>
      <w:r w:rsidRPr="00DD59EA">
        <w:rPr>
          <w:rFonts w:ascii="Palatino Linotype" w:hAnsi="Palatino Linotype" w:cs="Arial"/>
        </w:rPr>
        <w:t>, al requerir, le sea informado, el porqué de lo que asevera, es decir, los motivos, razones o circunstancias de un hecho (la razón o el motivo por el que, se le adeudan sueldos al servidor público). En ese sentido, debemos entender la definición de los términos “razón” y “motivar” precisado por la Real Academia de la Lengua Española, que a la letra señala:</w:t>
      </w:r>
    </w:p>
    <w:p w:rsidR="00D42913" w:rsidRPr="00DD59EA" w:rsidRDefault="00D42913" w:rsidP="005529FA">
      <w:pPr>
        <w:spacing w:before="60" w:after="60" w:line="276" w:lineRule="auto"/>
        <w:ind w:left="851" w:right="899"/>
        <w:jc w:val="both"/>
        <w:rPr>
          <w:rStyle w:val="f"/>
          <w:rFonts w:ascii="Palatino Linotype" w:eastAsia="Arial Unicode MS" w:hAnsi="Palatino Linotype"/>
          <w:b/>
          <w:i/>
          <w:sz w:val="22"/>
          <w:szCs w:val="22"/>
        </w:rPr>
      </w:pPr>
      <w:r w:rsidRPr="00DD59EA">
        <w:rPr>
          <w:rStyle w:val="f"/>
          <w:rFonts w:ascii="Palatino Linotype" w:eastAsia="Arial Unicode MS" w:hAnsi="Palatino Linotype"/>
          <w:i/>
          <w:sz w:val="22"/>
          <w:szCs w:val="22"/>
        </w:rPr>
        <w:t>“</w:t>
      </w:r>
      <w:r w:rsidRPr="00DD59EA">
        <w:rPr>
          <w:rStyle w:val="f"/>
          <w:rFonts w:ascii="Palatino Linotype" w:eastAsia="Arial Unicode MS" w:hAnsi="Palatino Linotype"/>
          <w:b/>
          <w:i/>
          <w:sz w:val="22"/>
          <w:szCs w:val="22"/>
        </w:rPr>
        <w:t>Razón.</w:t>
      </w:r>
    </w:p>
    <w:p w:rsidR="00D42913" w:rsidRPr="00DD59EA" w:rsidRDefault="00D42913" w:rsidP="005529FA">
      <w:pPr>
        <w:spacing w:before="60" w:after="60" w:line="276" w:lineRule="auto"/>
        <w:ind w:left="851" w:right="899"/>
        <w:jc w:val="both"/>
        <w:rPr>
          <w:rFonts w:ascii="Palatino Linotype" w:hAnsi="Palatino Linotype"/>
          <w:bCs/>
          <w:i/>
          <w:noProof/>
          <w:sz w:val="22"/>
          <w:szCs w:val="22"/>
        </w:rPr>
      </w:pPr>
      <w:r w:rsidRPr="00DD59EA">
        <w:rPr>
          <w:rFonts w:ascii="Palatino Linotype" w:hAnsi="Palatino Linotype" w:hint="eastAsia"/>
          <w:i/>
          <w:noProof/>
          <w:sz w:val="22"/>
          <w:szCs w:val="22"/>
        </w:rPr>
        <w:t>5. </w:t>
      </w:r>
      <w:r w:rsidRPr="00DD59EA">
        <w:rPr>
          <w:rFonts w:ascii="Palatino Linotype" w:hAnsi="Palatino Linotype"/>
          <w:bCs/>
          <w:i/>
          <w:noProof/>
          <w:sz w:val="22"/>
          <w:szCs w:val="22"/>
        </w:rPr>
        <w:t>f.</w:t>
      </w:r>
      <w:r w:rsidRPr="00DD59EA">
        <w:rPr>
          <w:rFonts w:ascii="Palatino Linotype" w:hAnsi="Palatino Linotype" w:hint="eastAsia"/>
          <w:bCs/>
          <w:i/>
          <w:noProof/>
          <w:sz w:val="22"/>
          <w:szCs w:val="22"/>
        </w:rPr>
        <w:t> </w:t>
      </w:r>
      <w:hyperlink r:id="rId37" w:anchor="B6vh6Hf" w:history="1">
        <w:r w:rsidRPr="00DD59EA">
          <w:rPr>
            <w:rFonts w:ascii="Palatino Linotype" w:hAnsi="Palatino Linotype" w:hint="eastAsia"/>
            <w:i/>
            <w:noProof/>
            <w:sz w:val="22"/>
            <w:szCs w:val="22"/>
          </w:rPr>
          <w:t>motivo</w:t>
        </w:r>
      </w:hyperlink>
      <w:r w:rsidRPr="00DD59EA">
        <w:rPr>
          <w:rFonts w:ascii="Palatino Linotype" w:hAnsi="Palatino Linotype" w:hint="eastAsia"/>
          <w:bCs/>
          <w:i/>
          <w:noProof/>
          <w:sz w:val="22"/>
          <w:szCs w:val="22"/>
        </w:rPr>
        <w:t> (‖ </w:t>
      </w:r>
      <w:r w:rsidRPr="00DD59EA">
        <w:rPr>
          <w:rFonts w:ascii="Palatino Linotype" w:hAnsi="Palatino Linotype"/>
          <w:bCs/>
          <w:i/>
          <w:noProof/>
          <w:sz w:val="22"/>
          <w:szCs w:val="22"/>
        </w:rPr>
        <w:t>causa</w:t>
      </w:r>
      <w:r w:rsidRPr="00DD59EA">
        <w:rPr>
          <w:rFonts w:ascii="Palatino Linotype" w:hAnsi="Palatino Linotype" w:hint="eastAsia"/>
          <w:bCs/>
          <w:i/>
          <w:noProof/>
          <w:sz w:val="22"/>
          <w:szCs w:val="22"/>
        </w:rPr>
        <w:t>).</w:t>
      </w:r>
    </w:p>
    <w:p w:rsidR="00D42913" w:rsidRPr="00DD59EA" w:rsidRDefault="00D42913" w:rsidP="005529FA">
      <w:pPr>
        <w:spacing w:before="60" w:after="60" w:line="276" w:lineRule="auto"/>
        <w:ind w:left="851" w:right="899"/>
        <w:jc w:val="both"/>
        <w:rPr>
          <w:rStyle w:val="f"/>
          <w:rFonts w:eastAsia="Arial Unicode MS"/>
          <w:b/>
          <w:i/>
        </w:rPr>
      </w:pPr>
      <w:bookmarkStart w:id="1" w:name="por_qué.1"/>
      <w:bookmarkEnd w:id="1"/>
      <w:r w:rsidRPr="00DD59EA">
        <w:rPr>
          <w:rStyle w:val="f"/>
          <w:rFonts w:eastAsia="Arial Unicode MS"/>
          <w:b/>
          <w:i/>
        </w:rPr>
        <w:t>Motivar.</w:t>
      </w:r>
    </w:p>
    <w:p w:rsidR="005529FA" w:rsidRPr="00DD59EA" w:rsidRDefault="00D42913" w:rsidP="005529FA">
      <w:pPr>
        <w:spacing w:before="60" w:after="60" w:line="276" w:lineRule="auto"/>
        <w:ind w:left="851" w:right="899"/>
        <w:jc w:val="both"/>
        <w:rPr>
          <w:rFonts w:ascii="Palatino Linotype" w:hAnsi="Palatino Linotype"/>
          <w:i/>
          <w:noProof/>
          <w:sz w:val="22"/>
          <w:szCs w:val="22"/>
        </w:rPr>
      </w:pPr>
      <w:r w:rsidRPr="00DD59EA">
        <w:rPr>
          <w:rFonts w:ascii="Palatino Linotype" w:hAnsi="Palatino Linotype" w:hint="eastAsia"/>
          <w:i/>
          <w:noProof/>
          <w:sz w:val="22"/>
          <w:szCs w:val="22"/>
        </w:rPr>
        <w:t>2. </w:t>
      </w:r>
      <w:r w:rsidRPr="00DD59EA">
        <w:rPr>
          <w:rFonts w:ascii="Palatino Linotype" w:hAnsi="Palatino Linotype"/>
          <w:i/>
          <w:noProof/>
          <w:sz w:val="22"/>
          <w:szCs w:val="22"/>
        </w:rPr>
        <w:t>tr.</w:t>
      </w:r>
      <w:r w:rsidRPr="00DD59EA">
        <w:rPr>
          <w:rFonts w:ascii="Palatino Linotype" w:hAnsi="Palatino Linotype" w:hint="eastAsia"/>
          <w:i/>
          <w:noProof/>
          <w:sz w:val="22"/>
          <w:szCs w:val="22"/>
        </w:rPr>
        <w:t> </w:t>
      </w:r>
      <w:r w:rsidRPr="00DD59EA">
        <w:rPr>
          <w:rFonts w:ascii="Palatino Linotype" w:hAnsi="Palatino Linotype"/>
          <w:b/>
          <w:i/>
          <w:noProof/>
          <w:sz w:val="22"/>
          <w:szCs w:val="22"/>
        </w:rPr>
        <w:t>Dar</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o</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explicar</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la</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razón</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o</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motivo</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que</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se</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ha</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tenido</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para</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hacer</w:t>
      </w:r>
      <w:r w:rsidRPr="00DD59EA">
        <w:rPr>
          <w:rFonts w:ascii="Palatino Linotype" w:hAnsi="Palatino Linotype" w:hint="eastAsia"/>
          <w:b/>
          <w:i/>
          <w:noProof/>
          <w:sz w:val="22"/>
          <w:szCs w:val="22"/>
        </w:rPr>
        <w:t> </w:t>
      </w:r>
      <w:r w:rsidRPr="00DD59EA">
        <w:rPr>
          <w:rFonts w:ascii="Palatino Linotype" w:hAnsi="Palatino Linotype"/>
          <w:b/>
          <w:i/>
          <w:noProof/>
          <w:sz w:val="22"/>
          <w:szCs w:val="22"/>
        </w:rPr>
        <w:t>algo</w:t>
      </w:r>
      <w:r w:rsidRPr="00DD59EA">
        <w:rPr>
          <w:rFonts w:ascii="Palatino Linotype" w:hAnsi="Palatino Linotype" w:hint="eastAsia"/>
          <w:i/>
          <w:noProof/>
          <w:sz w:val="22"/>
          <w:szCs w:val="22"/>
        </w:rPr>
        <w:t>. </w:t>
      </w:r>
    </w:p>
    <w:p w:rsidR="00D42913" w:rsidRPr="00DD59EA" w:rsidRDefault="00D42913" w:rsidP="005529FA">
      <w:pPr>
        <w:spacing w:before="60" w:after="60" w:line="276" w:lineRule="auto"/>
        <w:ind w:left="851" w:right="899"/>
        <w:jc w:val="both"/>
        <w:rPr>
          <w:rFonts w:ascii="Palatino Linotype" w:hAnsi="Palatino Linotype"/>
          <w:i/>
          <w:noProof/>
          <w:sz w:val="22"/>
          <w:szCs w:val="22"/>
        </w:rPr>
      </w:pPr>
      <w:r w:rsidRPr="00DD59EA">
        <w:rPr>
          <w:rFonts w:ascii="Palatino Linotype" w:hAnsi="Palatino Linotype" w:hint="eastAsia"/>
          <w:noProof/>
          <w:sz w:val="22"/>
          <w:szCs w:val="22"/>
        </w:rPr>
        <w:t>Debes motivar la respuesta.</w:t>
      </w:r>
    </w:p>
    <w:p w:rsidR="00D42913" w:rsidRPr="00DD59EA" w:rsidRDefault="00D42913" w:rsidP="005529FA">
      <w:pPr>
        <w:spacing w:before="60" w:after="60" w:line="276" w:lineRule="auto"/>
        <w:ind w:left="851" w:right="89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Cs/>
          <w:i/>
          <w:sz w:val="22"/>
          <w:szCs w:val="22"/>
          <w:lang w:eastAsia="es-MX"/>
        </w:rPr>
        <w:lastRenderedPageBreak/>
        <w:t>(Énfasis añadido)</w:t>
      </w:r>
    </w:p>
    <w:p w:rsidR="00D42913" w:rsidRPr="00DD59EA" w:rsidRDefault="00D42913" w:rsidP="00D42913">
      <w:pPr>
        <w:autoSpaceDE w:val="0"/>
        <w:autoSpaceDN w:val="0"/>
        <w:adjustRightInd w:val="0"/>
        <w:spacing w:before="120" w:after="120" w:line="360" w:lineRule="auto"/>
        <w:jc w:val="both"/>
        <w:rPr>
          <w:rFonts w:ascii="Palatino Linotype" w:hAnsi="Palatino Linotype" w:cs="Arial"/>
        </w:rPr>
      </w:pPr>
      <w:r w:rsidRPr="00DD59EA">
        <w:rPr>
          <w:rFonts w:ascii="Palatino Linotype" w:hAnsi="Palatino Linotype" w:cs="Arial"/>
        </w:rPr>
        <w:t>Por lo que, la entrega de una razón o un razonamiento por parte del</w:t>
      </w:r>
      <w:r w:rsidRPr="00DD59EA">
        <w:rPr>
          <w:rFonts w:ascii="Palatino Linotype" w:hAnsi="Palatino Linotype" w:cs="Arial"/>
          <w:b/>
          <w:lang w:eastAsia="es-MX"/>
        </w:rPr>
        <w:t xml:space="preserve"> SUJETO OBLIGADO</w:t>
      </w:r>
      <w:r w:rsidRPr="00DD59EA">
        <w:rPr>
          <w:rFonts w:ascii="Palatino Linotype" w:hAnsi="Palatino Linotype" w:cs="Arial"/>
        </w:rPr>
        <w:t xml:space="preserve"> no es algo que la ley establezca como atribución, derecho, o facultad; pues ello implicaría un </w:t>
      </w:r>
      <w:r w:rsidRPr="00DD59EA">
        <w:rPr>
          <w:rFonts w:ascii="Palatino Linotype" w:hAnsi="Palatino Linotype" w:cs="Arial"/>
          <w:b/>
        </w:rPr>
        <w:t>juicio de valor</w:t>
      </w:r>
      <w:r w:rsidRPr="00DD59EA">
        <w:rPr>
          <w:rFonts w:ascii="Palatino Linotype" w:hAnsi="Palatino Linotype" w:cs="Arial"/>
        </w:rPr>
        <w:t xml:space="preserve"> referente a un cuestionamiento realizado, los cuales, al constituir interrogantes, inquietudes y manifestaciones se satisfacen vía derecho de petición, y no así, a través del ejercicio del derecho a acceder a información pública.</w:t>
      </w:r>
    </w:p>
    <w:p w:rsidR="00D42913" w:rsidRPr="00DD59EA" w:rsidRDefault="00D42913" w:rsidP="00D42913">
      <w:pPr>
        <w:autoSpaceDE w:val="0"/>
        <w:autoSpaceDN w:val="0"/>
        <w:adjustRightInd w:val="0"/>
        <w:spacing w:before="120" w:after="120" w:line="360" w:lineRule="auto"/>
        <w:jc w:val="both"/>
        <w:rPr>
          <w:rFonts w:ascii="Palatino Linotype" w:hAnsi="Palatino Linotype" w:cs="Arial"/>
        </w:rPr>
      </w:pPr>
      <w:r w:rsidRPr="00DD59EA">
        <w:rPr>
          <w:rFonts w:ascii="Palatino Linotype" w:hAnsi="Palatino Linotype" w:cs="Arial"/>
        </w:rPr>
        <w:t xml:space="preserve">Al respecto, es importante precisar que este Órgano Garante </w:t>
      </w:r>
      <w:r w:rsidRPr="00DD59EA">
        <w:rPr>
          <w:rFonts w:ascii="Palatino Linotype" w:hAnsi="Palatino Linotype" w:cs="Arial"/>
          <w:lang w:eastAsia="es-MX"/>
        </w:rPr>
        <w:t xml:space="preserve">de la difusión, protección y respeto al derecho de acceso a la información pública y a la protección de </w:t>
      </w:r>
      <w:r w:rsidRPr="00DD59EA">
        <w:rPr>
          <w:rFonts w:ascii="Palatino Linotype" w:hAnsi="Palatino Linotype" w:cs="Arial"/>
        </w:rPr>
        <w:t>datos</w:t>
      </w:r>
      <w:r w:rsidRPr="00DD59EA">
        <w:rPr>
          <w:rFonts w:ascii="Palatino Linotype" w:hAnsi="Palatino Linotype" w:cs="Arial"/>
          <w:lang w:eastAsia="es-MX"/>
        </w:rPr>
        <w:t xml:space="preserve"> personales, conforme a su naturaleza jurídica y en términos del artículo 179 de la Ley de Transparencia y Acceso a la Información Pública del Estado de México,</w:t>
      </w:r>
      <w:r w:rsidRPr="00DD59EA">
        <w:rPr>
          <w:rFonts w:ascii="Palatino Linotype" w:hAnsi="Palatino Linotype" w:cs="Arial"/>
        </w:rPr>
        <w:t xml:space="preserve"> es competente para resolver los recursos de revisión, cuando se actualice cualquiera de las siguientes causas:</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i/>
          <w:sz w:val="22"/>
          <w:szCs w:val="22"/>
          <w:lang w:eastAsia="es-MX"/>
        </w:rPr>
        <w:t>“</w:t>
      </w:r>
      <w:r w:rsidRPr="00DD59EA">
        <w:rPr>
          <w:rFonts w:ascii="Palatino Linotype" w:eastAsia="Arial Unicode MS" w:hAnsi="Palatino Linotype" w:cs="Arial"/>
          <w:b/>
          <w:i/>
          <w:sz w:val="22"/>
          <w:szCs w:val="22"/>
          <w:lang w:eastAsia="es-MX"/>
        </w:rPr>
        <w:t>Artículo 179.</w:t>
      </w:r>
      <w:r w:rsidRPr="00DD59EA">
        <w:rPr>
          <w:rFonts w:ascii="Palatino Linotype" w:eastAsia="Arial Unicode MS" w:hAnsi="Palatino Linotype" w:cs="Arial"/>
          <w:i/>
          <w:sz w:val="22"/>
          <w:szCs w:val="22"/>
          <w:lang w:eastAsia="es-MX"/>
        </w:rPr>
        <w:t xml:space="preserve"> El </w:t>
      </w:r>
      <w:r w:rsidRPr="00DD59EA">
        <w:rPr>
          <w:rFonts w:ascii="Palatino Linotype" w:hAnsi="Palatino Linotype" w:cs="Arial"/>
          <w:bCs/>
          <w:i/>
          <w:noProof/>
          <w:sz w:val="22"/>
        </w:rPr>
        <w:t>recurso</w:t>
      </w:r>
      <w:r w:rsidRPr="00DD59EA">
        <w:rPr>
          <w:rFonts w:ascii="Palatino Linotype" w:eastAsia="Arial Unicode MS" w:hAnsi="Palatino Linotype" w:cs="Arial"/>
          <w:i/>
          <w:sz w:val="22"/>
          <w:szCs w:val="22"/>
          <w:lang w:eastAsia="es-MX"/>
        </w:rPr>
        <w:t xml:space="preserve"> de revisión es un medio de protección que la Ley otorga a los particulares, para hacer valer su derecho de acceso a la información pública, y procederá en contra de las siguientes causas:</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I.</w:t>
      </w:r>
      <w:r w:rsidRPr="00DD59EA">
        <w:rPr>
          <w:rFonts w:ascii="Palatino Linotype" w:eastAsia="Arial Unicode MS" w:hAnsi="Palatino Linotype" w:cs="Arial"/>
          <w:i/>
          <w:sz w:val="22"/>
          <w:szCs w:val="22"/>
          <w:lang w:eastAsia="es-MX"/>
        </w:rPr>
        <w:t xml:space="preserve"> La negativa a la </w:t>
      </w:r>
      <w:r w:rsidRPr="00DD59EA">
        <w:rPr>
          <w:rFonts w:ascii="Palatino Linotype" w:hAnsi="Palatino Linotype" w:cs="Arial"/>
          <w:bCs/>
          <w:i/>
          <w:noProof/>
          <w:sz w:val="22"/>
        </w:rPr>
        <w:t>información</w:t>
      </w:r>
      <w:r w:rsidRPr="00DD59EA">
        <w:rPr>
          <w:rFonts w:ascii="Palatino Linotype" w:eastAsia="Arial Unicode MS" w:hAnsi="Palatino Linotype" w:cs="Arial"/>
          <w:i/>
          <w:sz w:val="22"/>
          <w:szCs w:val="22"/>
          <w:lang w:eastAsia="es-MX"/>
        </w:rPr>
        <w:t xml:space="preserve"> solicitada;</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II.</w:t>
      </w:r>
      <w:r w:rsidRPr="00DD59EA">
        <w:rPr>
          <w:rFonts w:ascii="Palatino Linotype" w:eastAsia="Arial Unicode MS" w:hAnsi="Palatino Linotype" w:cs="Arial"/>
          <w:i/>
          <w:sz w:val="22"/>
          <w:szCs w:val="22"/>
          <w:lang w:eastAsia="es-MX"/>
        </w:rPr>
        <w:t xml:space="preserve"> La clasificación de </w:t>
      </w:r>
      <w:r w:rsidRPr="00DD59EA">
        <w:rPr>
          <w:rFonts w:ascii="Palatino Linotype" w:hAnsi="Palatino Linotype" w:cs="Arial"/>
          <w:bCs/>
          <w:i/>
          <w:noProof/>
          <w:sz w:val="22"/>
        </w:rPr>
        <w:t>la</w:t>
      </w:r>
      <w:r w:rsidRPr="00DD59EA">
        <w:rPr>
          <w:rFonts w:ascii="Palatino Linotype" w:eastAsia="Arial Unicode MS" w:hAnsi="Palatino Linotype" w:cs="Arial"/>
          <w:i/>
          <w:sz w:val="22"/>
          <w:szCs w:val="22"/>
          <w:lang w:eastAsia="es-MX"/>
        </w:rPr>
        <w:t xml:space="preserve"> información;</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III.</w:t>
      </w:r>
      <w:r w:rsidRPr="00DD59EA">
        <w:rPr>
          <w:rFonts w:ascii="Palatino Linotype" w:eastAsia="Arial Unicode MS" w:hAnsi="Palatino Linotype" w:cs="Arial"/>
          <w:i/>
          <w:sz w:val="22"/>
          <w:szCs w:val="22"/>
          <w:lang w:eastAsia="es-MX"/>
        </w:rPr>
        <w:t xml:space="preserve"> La declaración de </w:t>
      </w:r>
      <w:r w:rsidRPr="00DD59EA">
        <w:rPr>
          <w:rFonts w:ascii="Palatino Linotype" w:hAnsi="Palatino Linotype" w:cs="Arial"/>
          <w:bCs/>
          <w:i/>
          <w:noProof/>
          <w:sz w:val="22"/>
        </w:rPr>
        <w:t>inexistencia</w:t>
      </w:r>
      <w:r w:rsidRPr="00DD59EA">
        <w:rPr>
          <w:rFonts w:ascii="Palatino Linotype" w:eastAsia="Arial Unicode MS" w:hAnsi="Palatino Linotype" w:cs="Arial"/>
          <w:i/>
          <w:sz w:val="22"/>
          <w:szCs w:val="22"/>
          <w:lang w:eastAsia="es-MX"/>
        </w:rPr>
        <w:t xml:space="preserve"> de la información;</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IV.</w:t>
      </w:r>
      <w:r w:rsidRPr="00DD59EA">
        <w:rPr>
          <w:rFonts w:ascii="Palatino Linotype" w:eastAsia="Arial Unicode MS" w:hAnsi="Palatino Linotype" w:cs="Arial"/>
          <w:i/>
          <w:sz w:val="22"/>
          <w:szCs w:val="22"/>
          <w:lang w:eastAsia="es-MX"/>
        </w:rPr>
        <w:t xml:space="preserve"> La declaración de </w:t>
      </w:r>
      <w:r w:rsidRPr="00DD59EA">
        <w:rPr>
          <w:rFonts w:ascii="Palatino Linotype" w:hAnsi="Palatino Linotype" w:cs="Arial"/>
          <w:bCs/>
          <w:i/>
          <w:noProof/>
          <w:sz w:val="22"/>
        </w:rPr>
        <w:t>incompetencia</w:t>
      </w:r>
      <w:r w:rsidRPr="00DD59EA">
        <w:rPr>
          <w:rFonts w:ascii="Palatino Linotype" w:eastAsia="Arial Unicode MS" w:hAnsi="Palatino Linotype" w:cs="Arial"/>
          <w:i/>
          <w:sz w:val="22"/>
          <w:szCs w:val="22"/>
          <w:lang w:eastAsia="es-MX"/>
        </w:rPr>
        <w:t xml:space="preserve"> por el sujeto obligado;</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V.</w:t>
      </w:r>
      <w:r w:rsidRPr="00DD59EA">
        <w:rPr>
          <w:rFonts w:ascii="Palatino Linotype" w:eastAsia="Arial Unicode MS" w:hAnsi="Palatino Linotype" w:cs="Arial"/>
          <w:i/>
          <w:sz w:val="22"/>
          <w:szCs w:val="22"/>
          <w:lang w:eastAsia="es-MX"/>
        </w:rPr>
        <w:t xml:space="preserve"> La entrega de </w:t>
      </w:r>
      <w:r w:rsidRPr="00DD59EA">
        <w:rPr>
          <w:rFonts w:ascii="Palatino Linotype" w:hAnsi="Palatino Linotype" w:cs="Arial"/>
          <w:bCs/>
          <w:i/>
          <w:noProof/>
          <w:sz w:val="22"/>
        </w:rPr>
        <w:t>información</w:t>
      </w:r>
      <w:r w:rsidRPr="00DD59EA">
        <w:rPr>
          <w:rFonts w:ascii="Palatino Linotype" w:eastAsia="Arial Unicode MS" w:hAnsi="Palatino Linotype" w:cs="Arial"/>
          <w:i/>
          <w:sz w:val="22"/>
          <w:szCs w:val="22"/>
          <w:lang w:eastAsia="es-MX"/>
        </w:rPr>
        <w:t xml:space="preserve"> incompleta;</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VI.</w:t>
      </w:r>
      <w:r w:rsidRPr="00DD59EA">
        <w:rPr>
          <w:rFonts w:ascii="Palatino Linotype" w:eastAsia="Arial Unicode MS" w:hAnsi="Palatino Linotype" w:cs="Arial"/>
          <w:i/>
          <w:sz w:val="22"/>
          <w:szCs w:val="22"/>
          <w:lang w:eastAsia="es-MX"/>
        </w:rPr>
        <w:t xml:space="preserve"> La entrega de </w:t>
      </w:r>
      <w:r w:rsidRPr="00DD59EA">
        <w:rPr>
          <w:rFonts w:ascii="Palatino Linotype" w:hAnsi="Palatino Linotype" w:cs="Arial"/>
          <w:bCs/>
          <w:i/>
          <w:noProof/>
          <w:sz w:val="22"/>
        </w:rPr>
        <w:t>información</w:t>
      </w:r>
      <w:r w:rsidRPr="00DD59EA">
        <w:rPr>
          <w:rFonts w:ascii="Palatino Linotype" w:eastAsia="Arial Unicode MS" w:hAnsi="Palatino Linotype" w:cs="Arial"/>
          <w:i/>
          <w:sz w:val="22"/>
          <w:szCs w:val="22"/>
          <w:lang w:eastAsia="es-MX"/>
        </w:rPr>
        <w:t xml:space="preserve"> que no corresponda con lo solicitado;</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VII.</w:t>
      </w:r>
      <w:r w:rsidRPr="00DD59EA">
        <w:rPr>
          <w:rFonts w:ascii="Palatino Linotype" w:eastAsia="Arial Unicode MS" w:hAnsi="Palatino Linotype" w:cs="Arial"/>
          <w:i/>
          <w:sz w:val="22"/>
          <w:szCs w:val="22"/>
          <w:lang w:eastAsia="es-MX"/>
        </w:rPr>
        <w:t xml:space="preserve"> La falta de </w:t>
      </w:r>
      <w:r w:rsidRPr="00DD59EA">
        <w:rPr>
          <w:rFonts w:ascii="Palatino Linotype" w:hAnsi="Palatino Linotype" w:cs="Arial"/>
          <w:bCs/>
          <w:i/>
          <w:noProof/>
          <w:sz w:val="22"/>
        </w:rPr>
        <w:t>respuesta</w:t>
      </w:r>
      <w:r w:rsidRPr="00DD59EA">
        <w:rPr>
          <w:rFonts w:ascii="Palatino Linotype" w:eastAsia="Arial Unicode MS" w:hAnsi="Palatino Linotype" w:cs="Arial"/>
          <w:i/>
          <w:sz w:val="22"/>
          <w:szCs w:val="22"/>
          <w:lang w:eastAsia="es-MX"/>
        </w:rPr>
        <w:t xml:space="preserve"> a una solicitud de acceso a la información;</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VIII.</w:t>
      </w:r>
      <w:r w:rsidRPr="00DD59EA">
        <w:rPr>
          <w:rFonts w:ascii="Palatino Linotype" w:eastAsia="Arial Unicode MS" w:hAnsi="Palatino Linotype" w:cs="Arial"/>
          <w:i/>
          <w:sz w:val="22"/>
          <w:szCs w:val="22"/>
          <w:lang w:eastAsia="es-MX"/>
        </w:rPr>
        <w:t xml:space="preserve"> La </w:t>
      </w:r>
      <w:r w:rsidRPr="00DD59EA">
        <w:rPr>
          <w:rFonts w:ascii="Palatino Linotype" w:hAnsi="Palatino Linotype" w:cs="Arial"/>
          <w:bCs/>
          <w:i/>
          <w:noProof/>
          <w:sz w:val="22"/>
        </w:rPr>
        <w:t>notificación</w:t>
      </w:r>
      <w:r w:rsidRPr="00DD59EA">
        <w:rPr>
          <w:rFonts w:ascii="Palatino Linotype" w:eastAsia="Arial Unicode MS" w:hAnsi="Palatino Linotype" w:cs="Arial"/>
          <w:i/>
          <w:sz w:val="22"/>
          <w:szCs w:val="22"/>
          <w:lang w:eastAsia="es-MX"/>
        </w:rPr>
        <w:t>, entrega o puesta a disposición de información en una modalidad o formato distinto al solicitado;</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lastRenderedPageBreak/>
        <w:t>IX.</w:t>
      </w:r>
      <w:r w:rsidRPr="00DD59EA">
        <w:rPr>
          <w:rFonts w:ascii="Palatino Linotype" w:eastAsia="Arial Unicode MS" w:hAnsi="Palatino Linotype" w:cs="Arial"/>
          <w:i/>
          <w:sz w:val="22"/>
          <w:szCs w:val="22"/>
          <w:lang w:eastAsia="es-MX"/>
        </w:rPr>
        <w:t xml:space="preserve"> La entrega o puesta a disposición de información en un formato incomprensible y/o no accesible para el solicitante;</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X.</w:t>
      </w:r>
      <w:r w:rsidRPr="00DD59EA">
        <w:rPr>
          <w:rFonts w:ascii="Palatino Linotype" w:eastAsia="Arial Unicode MS" w:hAnsi="Palatino Linotype" w:cs="Arial"/>
          <w:i/>
          <w:sz w:val="22"/>
          <w:szCs w:val="22"/>
          <w:lang w:eastAsia="es-MX"/>
        </w:rPr>
        <w:t xml:space="preserve"> Los costos o tiempos de entrega de la información;</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XI.</w:t>
      </w:r>
      <w:r w:rsidRPr="00DD59EA">
        <w:rPr>
          <w:rFonts w:ascii="Palatino Linotype" w:eastAsia="Arial Unicode MS" w:hAnsi="Palatino Linotype" w:cs="Arial"/>
          <w:i/>
          <w:sz w:val="22"/>
          <w:szCs w:val="22"/>
          <w:lang w:eastAsia="es-MX"/>
        </w:rPr>
        <w:t xml:space="preserve"> La falta </w:t>
      </w:r>
      <w:r w:rsidRPr="00DD59EA">
        <w:rPr>
          <w:rFonts w:ascii="Palatino Linotype" w:hAnsi="Palatino Linotype" w:cs="Arial"/>
          <w:bCs/>
          <w:i/>
          <w:noProof/>
          <w:sz w:val="22"/>
        </w:rPr>
        <w:t>de</w:t>
      </w:r>
      <w:r w:rsidRPr="00DD59EA">
        <w:rPr>
          <w:rFonts w:ascii="Palatino Linotype" w:eastAsia="Arial Unicode MS" w:hAnsi="Palatino Linotype" w:cs="Arial"/>
          <w:i/>
          <w:sz w:val="22"/>
          <w:szCs w:val="22"/>
          <w:lang w:eastAsia="es-MX"/>
        </w:rPr>
        <w:t xml:space="preserve"> trámite a una solicitud;</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XII.</w:t>
      </w:r>
      <w:r w:rsidRPr="00DD59EA">
        <w:rPr>
          <w:rFonts w:ascii="Palatino Linotype" w:eastAsia="Arial Unicode MS" w:hAnsi="Palatino Linotype" w:cs="Arial"/>
          <w:i/>
          <w:sz w:val="22"/>
          <w:szCs w:val="22"/>
          <w:lang w:eastAsia="es-MX"/>
        </w:rPr>
        <w:t xml:space="preserve"> La </w:t>
      </w:r>
      <w:r w:rsidRPr="00DD59EA">
        <w:rPr>
          <w:rFonts w:ascii="Palatino Linotype" w:hAnsi="Palatino Linotype" w:cs="Arial"/>
          <w:bCs/>
          <w:i/>
          <w:noProof/>
          <w:sz w:val="22"/>
        </w:rPr>
        <w:t>negativa</w:t>
      </w:r>
      <w:r w:rsidRPr="00DD59EA">
        <w:rPr>
          <w:rFonts w:ascii="Palatino Linotype" w:eastAsia="Arial Unicode MS" w:hAnsi="Palatino Linotype" w:cs="Arial"/>
          <w:i/>
          <w:sz w:val="22"/>
          <w:szCs w:val="22"/>
          <w:lang w:eastAsia="es-MX"/>
        </w:rPr>
        <w:t xml:space="preserve"> a permitir la consulta directa de la información;</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XIII.</w:t>
      </w:r>
      <w:r w:rsidRPr="00DD59EA">
        <w:rPr>
          <w:rFonts w:ascii="Palatino Linotype" w:eastAsia="Arial Unicode MS" w:hAnsi="Palatino Linotype" w:cs="Arial"/>
          <w:i/>
          <w:sz w:val="22"/>
          <w:szCs w:val="22"/>
          <w:lang w:eastAsia="es-MX"/>
        </w:rPr>
        <w:t xml:space="preserve"> La falta, deficiencia o insuficiencia de la fundamentación y/o motivación en la respuesta; y</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b/>
          <w:i/>
          <w:sz w:val="22"/>
          <w:szCs w:val="22"/>
          <w:lang w:eastAsia="es-MX"/>
        </w:rPr>
        <w:t>XIV.</w:t>
      </w:r>
      <w:r w:rsidRPr="00DD59EA">
        <w:rPr>
          <w:rFonts w:ascii="Palatino Linotype" w:eastAsia="Arial Unicode MS" w:hAnsi="Palatino Linotype" w:cs="Arial"/>
          <w:i/>
          <w:sz w:val="22"/>
          <w:szCs w:val="22"/>
          <w:lang w:eastAsia="es-MX"/>
        </w:rPr>
        <w:t xml:space="preserve"> La </w:t>
      </w:r>
      <w:r w:rsidRPr="00DD59EA">
        <w:rPr>
          <w:rFonts w:ascii="Palatino Linotype" w:hAnsi="Palatino Linotype" w:cs="Arial"/>
          <w:bCs/>
          <w:i/>
          <w:noProof/>
          <w:sz w:val="22"/>
        </w:rPr>
        <w:t>orientación</w:t>
      </w:r>
      <w:r w:rsidRPr="00DD59EA">
        <w:rPr>
          <w:rFonts w:ascii="Palatino Linotype" w:eastAsia="Arial Unicode MS" w:hAnsi="Palatino Linotype" w:cs="Arial"/>
          <w:i/>
          <w:sz w:val="22"/>
          <w:szCs w:val="22"/>
          <w:lang w:eastAsia="es-MX"/>
        </w:rPr>
        <w:t xml:space="preserve"> a un trámite específico.</w:t>
      </w:r>
    </w:p>
    <w:p w:rsidR="00D42913" w:rsidRPr="00DD59EA" w:rsidRDefault="00D42913" w:rsidP="00D42913">
      <w:pPr>
        <w:spacing w:before="120" w:after="120" w:line="276" w:lineRule="auto"/>
        <w:ind w:left="709" w:right="709"/>
        <w:jc w:val="both"/>
        <w:rPr>
          <w:rFonts w:ascii="Palatino Linotype" w:eastAsia="Arial Unicode MS" w:hAnsi="Palatino Linotype" w:cs="Arial"/>
          <w:i/>
          <w:sz w:val="22"/>
          <w:szCs w:val="22"/>
          <w:lang w:eastAsia="es-MX"/>
        </w:rPr>
      </w:pPr>
      <w:r w:rsidRPr="00DD59EA">
        <w:rPr>
          <w:rFonts w:ascii="Palatino Linotype" w:eastAsia="Arial Unicode MS" w:hAnsi="Palatino Linotype" w:cs="Arial"/>
          <w:i/>
          <w:sz w:val="22"/>
          <w:szCs w:val="22"/>
          <w:lang w:eastAsia="es-MX"/>
        </w:rPr>
        <w:t xml:space="preserve">La respuesta que den los sujetos obligados derivada de la resolución a un recurso de revisión </w:t>
      </w:r>
      <w:r w:rsidRPr="00DD59EA">
        <w:rPr>
          <w:rFonts w:ascii="Palatino Linotype" w:hAnsi="Palatino Linotype" w:cs="Arial"/>
          <w:bCs/>
          <w:i/>
          <w:noProof/>
          <w:sz w:val="22"/>
        </w:rPr>
        <w:t>que</w:t>
      </w:r>
      <w:r w:rsidRPr="00DD59EA">
        <w:rPr>
          <w:rFonts w:ascii="Palatino Linotype" w:eastAsia="Arial Unicode MS" w:hAnsi="Palatino Linotype" w:cs="Arial"/>
          <w:i/>
          <w:sz w:val="22"/>
          <w:szCs w:val="22"/>
          <w:lang w:eastAsia="es-MX"/>
        </w:rPr>
        <w:t xml:space="preserve"> proceda por las causales señaladas en las fracciones IV, VII, IX, X, XI y XII es susceptible de ser impugnada de nueva cuenta, mediante recurso de</w:t>
      </w:r>
      <w:r w:rsidR="005529FA" w:rsidRPr="00DD59EA">
        <w:rPr>
          <w:rFonts w:ascii="Palatino Linotype" w:eastAsia="Arial Unicode MS" w:hAnsi="Palatino Linotype" w:cs="Arial"/>
          <w:i/>
          <w:sz w:val="22"/>
          <w:szCs w:val="22"/>
          <w:lang w:eastAsia="es-MX"/>
        </w:rPr>
        <w:t xml:space="preserve"> </w:t>
      </w:r>
      <w:r w:rsidRPr="00DD59EA">
        <w:rPr>
          <w:rFonts w:ascii="Palatino Linotype" w:eastAsia="Arial Unicode MS" w:hAnsi="Palatino Linotype" w:cs="Arial"/>
          <w:i/>
          <w:sz w:val="22"/>
          <w:szCs w:val="22"/>
          <w:lang w:eastAsia="es-MX"/>
        </w:rPr>
        <w:t>revisión, ante el Instituto.</w:t>
      </w:r>
      <w:r w:rsidR="005529FA" w:rsidRPr="00DD59EA">
        <w:rPr>
          <w:rFonts w:ascii="Palatino Linotype" w:eastAsia="Arial Unicode MS" w:hAnsi="Palatino Linotype" w:cs="Arial"/>
          <w:i/>
          <w:sz w:val="22"/>
          <w:szCs w:val="22"/>
          <w:lang w:eastAsia="es-MX"/>
        </w:rPr>
        <w:t>” (Sic)</w:t>
      </w:r>
    </w:p>
    <w:p w:rsidR="00D42913" w:rsidRPr="00DD59EA" w:rsidRDefault="00D42913" w:rsidP="00D42913">
      <w:pPr>
        <w:spacing w:line="360" w:lineRule="auto"/>
        <w:jc w:val="both"/>
        <w:rPr>
          <w:rFonts w:ascii="Palatino Linotype" w:hAnsi="Palatino Linotype" w:cs="Arial"/>
        </w:rPr>
      </w:pPr>
      <w:r w:rsidRPr="00DD59EA">
        <w:rPr>
          <w:rFonts w:ascii="Palatino Linotype" w:hAnsi="Palatino Linotype" w:cs="Arial"/>
        </w:rPr>
        <w:t>Siendo así, dentro de dichas causales de procedencia del recurso de revisión, no se contempla cuando se trate del ejercicio de un derecho de petición, pues como ya se dijo, no es posible colmar el derecho del particular mediante la entrega de documentos en los que consten las razones o motivos</w:t>
      </w:r>
      <w:r w:rsidR="005529FA" w:rsidRPr="00DD59EA">
        <w:rPr>
          <w:rFonts w:ascii="Palatino Linotype" w:hAnsi="Palatino Linotype" w:cs="Arial"/>
        </w:rPr>
        <w:t xml:space="preserve"> de su actuar o de la omisión en la realización del ejercicio de sus atribuciones;</w:t>
      </w:r>
      <w:r w:rsidRPr="00DD59EA">
        <w:rPr>
          <w:rFonts w:ascii="Palatino Linotype" w:hAnsi="Palatino Linotype" w:cs="Arial"/>
        </w:rPr>
        <w:t xml:space="preserve"> por lo que</w:t>
      </w:r>
      <w:r w:rsidR="005529FA" w:rsidRPr="00DD59EA">
        <w:rPr>
          <w:rFonts w:ascii="Palatino Linotype" w:hAnsi="Palatino Linotype" w:cs="Arial"/>
        </w:rPr>
        <w:t xml:space="preserve">, </w:t>
      </w:r>
      <w:r w:rsidRPr="00DD59EA">
        <w:rPr>
          <w:rFonts w:ascii="Palatino Linotype" w:hAnsi="Palatino Linotype" w:cs="Arial"/>
        </w:rPr>
        <w:t xml:space="preserve">en razón de que lo requerido por </w:t>
      </w:r>
      <w:r w:rsidR="005529FA" w:rsidRPr="00DD59EA">
        <w:rPr>
          <w:rFonts w:ascii="Palatino Linotype" w:hAnsi="Palatino Linotype" w:cs="Arial"/>
          <w:b/>
        </w:rPr>
        <w:t>LA</w:t>
      </w:r>
      <w:r w:rsidRPr="00DD59EA">
        <w:rPr>
          <w:rFonts w:ascii="Palatino Linotype" w:hAnsi="Palatino Linotype" w:cs="Arial"/>
          <w:b/>
        </w:rPr>
        <w:t xml:space="preserve"> RECURRENTE</w:t>
      </w:r>
      <w:r w:rsidRPr="00DD59EA">
        <w:rPr>
          <w:rFonts w:ascii="Palatino Linotype" w:hAnsi="Palatino Linotype" w:cs="Arial"/>
        </w:rPr>
        <w:t>, puede traducirse como una consulta, en el ejercicio de su derecho de petición.</w:t>
      </w:r>
    </w:p>
    <w:p w:rsidR="00D42913" w:rsidRPr="00DD59EA" w:rsidRDefault="00D42913" w:rsidP="00D42913">
      <w:pPr>
        <w:autoSpaceDE w:val="0"/>
        <w:autoSpaceDN w:val="0"/>
        <w:adjustRightInd w:val="0"/>
        <w:spacing w:before="120" w:after="120" w:line="360" w:lineRule="auto"/>
        <w:jc w:val="both"/>
        <w:rPr>
          <w:rFonts w:ascii="Palatino Linotype" w:hAnsi="Palatino Linotype" w:cs="Arial"/>
          <w:lang w:eastAsia="es-MX"/>
        </w:rPr>
      </w:pPr>
      <w:r w:rsidRPr="00DD59EA">
        <w:rPr>
          <w:rFonts w:ascii="Palatino Linotype" w:hAnsi="Palatino Linotype" w:cs="Arial"/>
        </w:rPr>
        <w:t xml:space="preserve">En tal virtud, al no actualizarse ninguno de los supuestos aludidos, este Instituto </w:t>
      </w:r>
      <w:r w:rsidRPr="00DD59EA">
        <w:rPr>
          <w:rFonts w:ascii="Palatino Linotype" w:hAnsi="Palatino Linotype" w:cs="Arial"/>
          <w:lang w:eastAsia="es-MX"/>
        </w:rPr>
        <w:t>no tiene atribuciones para pronunciarse respecto a la petición formulada por</w:t>
      </w:r>
      <w:r w:rsidR="005529FA" w:rsidRPr="00DD59EA">
        <w:rPr>
          <w:rFonts w:ascii="Palatino Linotype" w:hAnsi="Palatino Linotype" w:cs="Arial"/>
          <w:lang w:eastAsia="es-MX"/>
        </w:rPr>
        <w:t xml:space="preserve"> la solicitante</w:t>
      </w:r>
      <w:r w:rsidRPr="00DD59EA">
        <w:rPr>
          <w:rFonts w:ascii="Palatino Linotype" w:hAnsi="Palatino Linotype" w:cs="Arial"/>
          <w:lang w:eastAsia="es-MX"/>
        </w:rPr>
        <w:t>,</w:t>
      </w:r>
      <w:r w:rsidR="005529FA" w:rsidRPr="00DD59EA">
        <w:rPr>
          <w:rFonts w:ascii="Palatino Linotype" w:hAnsi="Palatino Linotype" w:cs="Arial"/>
          <w:lang w:eastAsia="es-MX"/>
        </w:rPr>
        <w:t xml:space="preserve"> en el inciso en estudio, </w:t>
      </w:r>
      <w:r w:rsidRPr="00DD59EA">
        <w:rPr>
          <w:rFonts w:ascii="Palatino Linotype" w:hAnsi="Palatino Linotype" w:cs="Arial"/>
        </w:rPr>
        <w:t xml:space="preserve">máxime que se trata de cuestionamientos y manifestaciones </w:t>
      </w:r>
      <w:r w:rsidR="005529FA" w:rsidRPr="00DD59EA">
        <w:rPr>
          <w:rFonts w:ascii="Palatino Linotype" w:hAnsi="Palatino Linotype" w:cs="Arial"/>
        </w:rPr>
        <w:t>encaminada</w:t>
      </w:r>
      <w:r w:rsidRPr="00DD59EA">
        <w:rPr>
          <w:rFonts w:ascii="Palatino Linotype" w:hAnsi="Palatino Linotype" w:cs="Arial"/>
        </w:rPr>
        <w:t xml:space="preserve">s a obtener un </w:t>
      </w:r>
      <w:r w:rsidRPr="00DD59EA">
        <w:rPr>
          <w:rFonts w:ascii="Palatino Linotype" w:hAnsi="Palatino Linotype" w:cs="Arial"/>
          <w:b/>
        </w:rPr>
        <w:t>juicio de valor</w:t>
      </w:r>
      <w:r w:rsidRPr="00DD59EA">
        <w:rPr>
          <w:rFonts w:ascii="Palatino Linotype" w:hAnsi="Palatino Linotype" w:cs="Arial"/>
        </w:rPr>
        <w:t xml:space="preserve">, emitido por parte de </w:t>
      </w:r>
      <w:r w:rsidRPr="00DD59EA">
        <w:rPr>
          <w:rFonts w:ascii="Palatino Linotype" w:hAnsi="Palatino Linotype" w:cs="Arial"/>
          <w:b/>
        </w:rPr>
        <w:t xml:space="preserve">EL SUJETO OBLIGADO </w:t>
      </w:r>
      <w:r w:rsidRPr="00DD59EA">
        <w:rPr>
          <w:rFonts w:ascii="Palatino Linotype" w:hAnsi="Palatino Linotype" w:cs="Arial"/>
        </w:rPr>
        <w:t>tendente a aclarar un cuestionamiento o una inquietud</w:t>
      </w:r>
      <w:r w:rsidRPr="00DD59EA">
        <w:rPr>
          <w:rFonts w:ascii="Palatino Linotype" w:hAnsi="Palatino Linotype" w:cs="Arial"/>
          <w:lang w:eastAsia="es-MX"/>
        </w:rPr>
        <w:t xml:space="preserve">. </w:t>
      </w:r>
    </w:p>
    <w:p w:rsidR="0074129E" w:rsidRPr="00DD59EA" w:rsidRDefault="0074129E" w:rsidP="0074129E">
      <w:pPr>
        <w:spacing w:before="100" w:beforeAutospacing="1" w:after="100" w:afterAutospacing="1" w:line="360" w:lineRule="auto"/>
        <w:jc w:val="both"/>
        <w:rPr>
          <w:rFonts w:ascii="Palatino Linotype" w:hAnsi="Palatino Linotype"/>
          <w:b/>
        </w:rPr>
      </w:pPr>
      <w:r w:rsidRPr="00DD59EA">
        <w:rPr>
          <w:rFonts w:ascii="Palatino Linotype" w:hAnsi="Palatino Linotype" w:cs="Arial"/>
        </w:rPr>
        <w:lastRenderedPageBreak/>
        <w:t xml:space="preserve">En atención a las consideraciones antes señaladas, esta Ponencia Resolutora, determina que las razones o motivos de inconformidad devienen </w:t>
      </w:r>
      <w:r w:rsidRPr="00DD59EA">
        <w:rPr>
          <w:rFonts w:ascii="Palatino Linotype" w:hAnsi="Palatino Linotype" w:cs="Arial"/>
          <w:b/>
        </w:rPr>
        <w:t>parcialmente fundadas</w:t>
      </w:r>
      <w:r w:rsidRPr="00DD59EA">
        <w:rPr>
          <w:rFonts w:ascii="Palatino Linotype" w:hAnsi="Palatino Linotype" w:cs="Arial"/>
        </w:rPr>
        <w:t>, toda vez que conforme al estudio realizado se actualiza la causal de procedencia enunciada en la fracción I del numeral 179 de la Ley de Transparencia y Acceso a la Información Pública del Estado de México y Municipios; e</w:t>
      </w:r>
      <w:r w:rsidRPr="00DD59EA">
        <w:rPr>
          <w:rFonts w:ascii="Palatino Linotype" w:hAnsi="Palatino Linotype" w:cs="Arial"/>
          <w:lang w:eastAsia="es-MX"/>
        </w:rPr>
        <w:t>n consecuencia</w:t>
      </w:r>
      <w:r w:rsidRPr="00DD59EA">
        <w:rPr>
          <w:rFonts w:ascii="Palatino Linotype" w:hAnsi="Palatino Linotype" w:cs="Arial"/>
          <w:b/>
          <w:lang w:eastAsia="es-MX"/>
        </w:rPr>
        <w:t xml:space="preserve">, </w:t>
      </w:r>
      <w:r w:rsidRPr="00DD59EA">
        <w:rPr>
          <w:rFonts w:ascii="Palatino Linotype" w:hAnsi="Palatino Linotype" w:cs="Arial"/>
          <w:lang w:eastAsia="es-MX"/>
        </w:rPr>
        <w:t>el Pleno de este Instituto</w:t>
      </w:r>
      <w:r w:rsidRPr="00DD59EA">
        <w:rPr>
          <w:rFonts w:ascii="Palatino Linotype" w:hAnsi="Palatino Linotype"/>
        </w:rPr>
        <w:t xml:space="preserve">, en términos de lo dispuesto en el artículo 186, fracción III de la Ley de Transparencia y Acceso a la </w:t>
      </w:r>
      <w:r w:rsidRPr="00DD59EA">
        <w:rPr>
          <w:rFonts w:ascii="Palatino Linotype" w:hAnsi="Palatino Linotype" w:cs="Arial"/>
        </w:rPr>
        <w:t>Información</w:t>
      </w:r>
      <w:r w:rsidRPr="00DD59EA">
        <w:rPr>
          <w:rFonts w:ascii="Palatino Linotype" w:hAnsi="Palatino Linotype"/>
        </w:rPr>
        <w:t xml:space="preserve"> Pública del Estado de México y Municipios, determina </w:t>
      </w:r>
      <w:r w:rsidRPr="00DD59EA">
        <w:rPr>
          <w:rFonts w:ascii="Palatino Linotype" w:hAnsi="Palatino Linotype"/>
          <w:b/>
        </w:rPr>
        <w:t xml:space="preserve">REVOCAR </w:t>
      </w:r>
      <w:r w:rsidRPr="00DD59EA">
        <w:rPr>
          <w:rFonts w:ascii="Palatino Linotype" w:hAnsi="Palatino Linotype"/>
        </w:rPr>
        <w:t xml:space="preserve">las respuestas proporcionadas por </w:t>
      </w:r>
      <w:r w:rsidRPr="00DD59EA">
        <w:rPr>
          <w:rFonts w:ascii="Palatino Linotype" w:hAnsi="Palatino Linotype"/>
          <w:b/>
        </w:rPr>
        <w:t>EL SUJETO OBLIGADO.</w:t>
      </w:r>
    </w:p>
    <w:p w:rsidR="0074129E" w:rsidRPr="00DD59EA" w:rsidRDefault="0074129E" w:rsidP="0074129E">
      <w:pPr>
        <w:spacing w:before="100" w:beforeAutospacing="1" w:after="100" w:afterAutospacing="1" w:line="360" w:lineRule="auto"/>
        <w:jc w:val="both"/>
        <w:rPr>
          <w:rFonts w:ascii="Palatino Linotype" w:eastAsia="Calibri" w:hAnsi="Palatino Linotype" w:cs="Arial"/>
        </w:rPr>
      </w:pPr>
      <w:r w:rsidRPr="00DD59EA">
        <w:rPr>
          <w:rFonts w:ascii="Palatino Linotype" w:eastAsia="Calibri" w:hAnsi="Palatino Linotype" w:cs="Arial"/>
        </w:rPr>
        <w:t xml:space="preserve">Así, con </w:t>
      </w:r>
      <w:r w:rsidRPr="00DD59EA">
        <w:rPr>
          <w:rFonts w:ascii="Palatino Linotype" w:hAnsi="Palatino Linotype" w:cs="Arial"/>
        </w:rPr>
        <w:t>fundamento</w:t>
      </w:r>
      <w:r w:rsidRPr="00DD59EA">
        <w:rPr>
          <w:rFonts w:ascii="Palatino Linotype" w:eastAsia="Calibri" w:hAnsi="Palatino Linotype" w:cs="Arial"/>
        </w:rPr>
        <w:t xml:space="preserve"> en lo prescrito en los artículos 5, </w:t>
      </w:r>
      <w:r w:rsidRPr="00DD59EA">
        <w:rPr>
          <w:rFonts w:ascii="Palatino Linotype" w:hAnsi="Palatino Linotype"/>
        </w:rPr>
        <w:t xml:space="preserve">párrafos vigésimo, vigésimo primero y vigésimo </w:t>
      </w:r>
      <w:r w:rsidRPr="00DD59EA">
        <w:rPr>
          <w:rFonts w:ascii="Palatino Linotype" w:hAnsi="Palatino Linotype" w:cs="Arial"/>
        </w:rPr>
        <w:t>segundo,</w:t>
      </w:r>
      <w:r w:rsidRPr="00DD59EA">
        <w:rPr>
          <w:rFonts w:ascii="Palatino Linotype" w:hAnsi="Palatino Linotype"/>
        </w:rPr>
        <w:t xml:space="preserve"> fracciones IV y V,</w:t>
      </w:r>
      <w:r w:rsidRPr="00DD59EA">
        <w:rPr>
          <w:rFonts w:ascii="Palatino Linotype" w:eastAsia="Calibri" w:hAnsi="Palatino Linotype" w:cs="Arial"/>
        </w:rPr>
        <w:t xml:space="preserve"> de la Constitución Política del Estado Libre y Soberano de </w:t>
      </w:r>
      <w:r w:rsidRPr="00DD59EA">
        <w:rPr>
          <w:rFonts w:ascii="Palatino Linotype" w:hAnsi="Palatino Linotype" w:cs="Arial"/>
          <w:lang w:val="es-ES_tradnl"/>
        </w:rPr>
        <w:t>México</w:t>
      </w:r>
      <w:r w:rsidRPr="00DD59EA">
        <w:rPr>
          <w:rFonts w:ascii="Palatino Linotype" w:eastAsia="Calibri" w:hAnsi="Palatino Linotype" w:cs="Arial"/>
        </w:rPr>
        <w:t xml:space="preserve">, y los artículos </w:t>
      </w:r>
      <w:r w:rsidRPr="00DD59EA">
        <w:rPr>
          <w:rFonts w:ascii="Palatino Linotype" w:hAnsi="Palatino Linotype"/>
        </w:rPr>
        <w:t xml:space="preserve">2, </w:t>
      </w:r>
      <w:r w:rsidRPr="00DD59EA">
        <w:rPr>
          <w:rFonts w:ascii="Palatino Linotype" w:hAnsi="Palatino Linotype" w:cs="Arial"/>
        </w:rPr>
        <w:t>fracción</w:t>
      </w:r>
      <w:r w:rsidRPr="00DD59EA">
        <w:rPr>
          <w:rFonts w:ascii="Palatino Linotype" w:hAnsi="Palatino Linotype"/>
        </w:rPr>
        <w:t xml:space="preserve"> II, 9, </w:t>
      </w:r>
      <w:r w:rsidRPr="00DD59EA">
        <w:rPr>
          <w:rFonts w:ascii="Palatino Linotype" w:hAnsi="Palatino Linotype" w:cs="Arial"/>
          <w:lang w:val="es-ES_tradnl"/>
        </w:rPr>
        <w:t>29</w:t>
      </w:r>
      <w:r w:rsidRPr="00DD59EA">
        <w:rPr>
          <w:rFonts w:ascii="Palatino Linotype" w:hAnsi="Palatino Linotype"/>
        </w:rPr>
        <w:t>, 36, fracciones I y II, 176, 178, 179, 181, 185, fracción I, 186 y 188,</w:t>
      </w:r>
      <w:r w:rsidRPr="00DD59EA">
        <w:rPr>
          <w:rFonts w:ascii="Palatino Linotype" w:eastAsia="Calibri" w:hAnsi="Palatino Linotype" w:cs="Arial"/>
        </w:rPr>
        <w:t xml:space="preserve"> de la Ley de Transparencia y Acceso a la Información Pública del Estado de México y </w:t>
      </w:r>
      <w:r w:rsidRPr="00DD59EA">
        <w:rPr>
          <w:rFonts w:ascii="Palatino Linotype" w:hAnsi="Palatino Linotype" w:cs="Arial"/>
        </w:rPr>
        <w:t>Municipios</w:t>
      </w:r>
      <w:r w:rsidRPr="00DD59EA">
        <w:rPr>
          <w:rFonts w:ascii="Palatino Linotype" w:eastAsia="Calibri" w:hAnsi="Palatino Linotype" w:cs="Arial"/>
        </w:rPr>
        <w:t xml:space="preserve">, </w:t>
      </w:r>
      <w:r w:rsidRPr="00DD59EA">
        <w:rPr>
          <w:rFonts w:ascii="Palatino Linotype" w:hAnsi="Palatino Linotype"/>
        </w:rPr>
        <w:t>este</w:t>
      </w:r>
      <w:r w:rsidRPr="00DD59EA">
        <w:rPr>
          <w:rFonts w:ascii="Palatino Linotype" w:eastAsia="Calibri" w:hAnsi="Palatino Linotype" w:cs="Arial"/>
        </w:rPr>
        <w:t xml:space="preserve"> Pleno:</w:t>
      </w:r>
    </w:p>
    <w:p w:rsidR="0074129E" w:rsidRPr="00DD59EA" w:rsidRDefault="0074129E" w:rsidP="0074129E">
      <w:pPr>
        <w:jc w:val="center"/>
        <w:rPr>
          <w:rFonts w:ascii="Palatino Linotype" w:hAnsi="Palatino Linotype"/>
          <w:b/>
          <w:bCs/>
          <w:spacing w:val="40"/>
          <w:sz w:val="28"/>
        </w:rPr>
      </w:pPr>
      <w:r w:rsidRPr="00DD59EA">
        <w:rPr>
          <w:rFonts w:ascii="Palatino Linotype" w:hAnsi="Palatino Linotype"/>
          <w:b/>
          <w:bCs/>
          <w:spacing w:val="40"/>
          <w:sz w:val="28"/>
        </w:rPr>
        <w:t>RESUELVE</w:t>
      </w:r>
    </w:p>
    <w:p w:rsidR="0074129E" w:rsidRPr="00DD59EA" w:rsidRDefault="0074129E" w:rsidP="0074129E">
      <w:pPr>
        <w:jc w:val="center"/>
        <w:rPr>
          <w:rFonts w:ascii="Palatino Linotype" w:hAnsi="Palatino Linotype"/>
          <w:b/>
          <w:bCs/>
          <w:spacing w:val="40"/>
          <w:sz w:val="28"/>
        </w:rPr>
      </w:pPr>
    </w:p>
    <w:p w:rsidR="0074129E" w:rsidRPr="00DD59EA" w:rsidRDefault="0074129E" w:rsidP="0074129E">
      <w:pPr>
        <w:spacing w:before="100" w:beforeAutospacing="1" w:after="100" w:afterAutospacing="1" w:line="360" w:lineRule="auto"/>
        <w:jc w:val="both"/>
        <w:rPr>
          <w:rFonts w:ascii="Palatino Linotype" w:hAnsi="Palatino Linotype" w:cs="Arial"/>
          <w:lang w:val="es-ES"/>
        </w:rPr>
      </w:pPr>
      <w:r w:rsidRPr="00DD59EA">
        <w:rPr>
          <w:rFonts w:ascii="Palatino Linotype" w:hAnsi="Palatino Linotype" w:cs="Arial"/>
          <w:b/>
          <w:sz w:val="28"/>
          <w:szCs w:val="28"/>
          <w:lang w:val="es-ES"/>
        </w:rPr>
        <w:t>PRIMERO</w:t>
      </w:r>
      <w:r w:rsidRPr="00DD59EA">
        <w:rPr>
          <w:rFonts w:ascii="Palatino Linotype" w:hAnsi="Palatino Linotype" w:cs="Arial"/>
          <w:sz w:val="28"/>
          <w:szCs w:val="28"/>
          <w:lang w:val="es-ES"/>
        </w:rPr>
        <w:t>.</w:t>
      </w:r>
      <w:r w:rsidRPr="00DD59EA">
        <w:rPr>
          <w:rFonts w:ascii="Palatino Linotype" w:hAnsi="Palatino Linotype" w:cs="Arial"/>
          <w:lang w:val="es-ES"/>
        </w:rPr>
        <w:t xml:space="preserve"> Resultan </w:t>
      </w:r>
      <w:r w:rsidRPr="00DD59EA">
        <w:rPr>
          <w:rFonts w:ascii="Palatino Linotype" w:hAnsi="Palatino Linotype" w:cs="Arial"/>
          <w:b/>
          <w:lang w:val="es-ES"/>
        </w:rPr>
        <w:t>parcialmente fundadas</w:t>
      </w:r>
      <w:r w:rsidRPr="00DD59EA">
        <w:rPr>
          <w:rFonts w:ascii="Palatino Linotype" w:hAnsi="Palatino Linotype" w:cs="Arial"/>
          <w:lang w:val="es-ES"/>
        </w:rPr>
        <w:t xml:space="preserve"> las razones o motivos de inconformidad planteadas por </w:t>
      </w:r>
      <w:r w:rsidRPr="00DD59EA">
        <w:rPr>
          <w:rFonts w:ascii="Palatino Linotype" w:hAnsi="Palatino Linotype" w:cs="Arial"/>
          <w:b/>
          <w:lang w:val="es-ES"/>
        </w:rPr>
        <w:t>LA RECURRENTE</w:t>
      </w:r>
      <w:r w:rsidRPr="00DD59EA">
        <w:rPr>
          <w:rFonts w:ascii="Palatino Linotype" w:hAnsi="Palatino Linotype" w:cs="Arial"/>
          <w:lang w:val="es-ES"/>
        </w:rPr>
        <w:t xml:space="preserve">, en términos del Considerando </w:t>
      </w:r>
      <w:r w:rsidR="00CA1A70" w:rsidRPr="00DD59EA">
        <w:rPr>
          <w:rFonts w:ascii="Palatino Linotype" w:hAnsi="Palatino Linotype" w:cs="Arial"/>
          <w:b/>
          <w:lang w:val="es-ES"/>
        </w:rPr>
        <w:t>SEX</w:t>
      </w:r>
      <w:r w:rsidRPr="00DD59EA">
        <w:rPr>
          <w:rFonts w:ascii="Palatino Linotype" w:hAnsi="Palatino Linotype" w:cs="Arial"/>
          <w:b/>
          <w:lang w:val="es-ES"/>
        </w:rPr>
        <w:t>TO</w:t>
      </w:r>
      <w:r w:rsidRPr="00DD59EA">
        <w:rPr>
          <w:rFonts w:ascii="Palatino Linotype" w:hAnsi="Palatino Linotype" w:cs="Arial"/>
          <w:lang w:val="es-ES"/>
        </w:rPr>
        <w:t xml:space="preserve"> de la presente resolución.</w:t>
      </w:r>
    </w:p>
    <w:p w:rsidR="00CA1A70" w:rsidRPr="00DD59EA" w:rsidRDefault="0074129E" w:rsidP="0074129E">
      <w:pPr>
        <w:spacing w:before="100" w:beforeAutospacing="1" w:after="100" w:afterAutospacing="1" w:line="360" w:lineRule="auto"/>
        <w:jc w:val="both"/>
        <w:rPr>
          <w:rFonts w:ascii="Palatino Linotype" w:hAnsi="Palatino Linotype" w:cs="Arial"/>
          <w:lang w:val="es-ES"/>
        </w:rPr>
      </w:pPr>
      <w:r w:rsidRPr="00DD59EA">
        <w:rPr>
          <w:rFonts w:ascii="Palatino Linotype" w:hAnsi="Palatino Linotype" w:cs="Arial"/>
          <w:b/>
          <w:sz w:val="28"/>
          <w:szCs w:val="28"/>
          <w:lang w:val="es-ES"/>
        </w:rPr>
        <w:t>SEGUNDO</w:t>
      </w:r>
      <w:r w:rsidRPr="00DD59EA">
        <w:rPr>
          <w:rFonts w:ascii="Palatino Linotype" w:hAnsi="Palatino Linotype" w:cs="Arial"/>
          <w:sz w:val="28"/>
          <w:szCs w:val="28"/>
          <w:lang w:val="es-ES"/>
        </w:rPr>
        <w:t>.</w:t>
      </w:r>
      <w:r w:rsidRPr="00DD59EA">
        <w:rPr>
          <w:rFonts w:ascii="Palatino Linotype" w:hAnsi="Palatino Linotype" w:cs="Arial"/>
          <w:lang w:val="es-ES"/>
        </w:rPr>
        <w:t xml:space="preserve"> </w:t>
      </w:r>
      <w:r w:rsidRPr="00DD59EA">
        <w:rPr>
          <w:rFonts w:ascii="Palatino Linotype" w:eastAsia="Calibri" w:hAnsi="Palatino Linotype" w:cs="Arial"/>
        </w:rPr>
        <w:t xml:space="preserve">Se </w:t>
      </w:r>
      <w:r w:rsidRPr="00DD59EA">
        <w:rPr>
          <w:rFonts w:ascii="Palatino Linotype" w:eastAsia="Calibri" w:hAnsi="Palatino Linotype" w:cs="Arial"/>
          <w:b/>
        </w:rPr>
        <w:t xml:space="preserve">REVOCAN </w:t>
      </w:r>
      <w:r w:rsidRPr="00DD59EA">
        <w:rPr>
          <w:rFonts w:ascii="Palatino Linotype" w:eastAsia="Calibri" w:hAnsi="Palatino Linotype" w:cs="Arial"/>
        </w:rPr>
        <w:t xml:space="preserve">las respuestas proporcionadas por </w:t>
      </w:r>
      <w:r w:rsidRPr="00DD59EA">
        <w:rPr>
          <w:rFonts w:ascii="Palatino Linotype" w:eastAsia="Calibri" w:hAnsi="Palatino Linotype" w:cs="Arial"/>
          <w:b/>
        </w:rPr>
        <w:t xml:space="preserve">EL SUJETO OBLIGADO </w:t>
      </w:r>
      <w:r w:rsidRPr="00DD59EA">
        <w:rPr>
          <w:rFonts w:ascii="Palatino Linotype" w:eastAsia="Calibri" w:hAnsi="Palatino Linotype" w:cs="Arial"/>
        </w:rPr>
        <w:t xml:space="preserve">y se </w:t>
      </w:r>
      <w:r w:rsidRPr="00DD59EA">
        <w:rPr>
          <w:rFonts w:ascii="Palatino Linotype" w:eastAsia="Calibri" w:hAnsi="Palatino Linotype" w:cs="Arial"/>
          <w:b/>
        </w:rPr>
        <w:t xml:space="preserve">ordena </w:t>
      </w:r>
      <w:r w:rsidRPr="00DD59EA">
        <w:rPr>
          <w:rFonts w:ascii="Palatino Linotype" w:eastAsia="Calibri" w:hAnsi="Palatino Linotype" w:cs="Arial"/>
        </w:rPr>
        <w:t xml:space="preserve">atienda las solicitudes de información </w:t>
      </w:r>
      <w:r w:rsidRPr="00DD59EA">
        <w:rPr>
          <w:rFonts w:ascii="Palatino Linotype" w:eastAsia="Calibri" w:hAnsi="Palatino Linotype" w:cs="Arial"/>
          <w:b/>
        </w:rPr>
        <w:t xml:space="preserve">00073/UPVT/IP/2019 </w:t>
      </w:r>
      <w:r w:rsidRPr="00DD59EA">
        <w:rPr>
          <w:rFonts w:ascii="Palatino Linotype" w:hAnsi="Palatino Linotype" w:cs="Arial"/>
        </w:rPr>
        <w:t xml:space="preserve">y </w:t>
      </w:r>
      <w:r w:rsidRPr="00DD59EA">
        <w:rPr>
          <w:rFonts w:ascii="Palatino Linotype" w:eastAsia="Calibri" w:hAnsi="Palatino Linotype" w:cs="Arial"/>
          <w:b/>
        </w:rPr>
        <w:t xml:space="preserve">00072/UPVT/IP/2019 </w:t>
      </w:r>
      <w:r w:rsidRPr="00DD59EA">
        <w:rPr>
          <w:rFonts w:ascii="Palatino Linotype" w:hAnsi="Palatino Linotype" w:cs="Arial"/>
        </w:rPr>
        <w:t xml:space="preserve">en términos del Considerando </w:t>
      </w:r>
      <w:r w:rsidR="00CA1A70" w:rsidRPr="00DD59EA">
        <w:rPr>
          <w:rFonts w:ascii="Palatino Linotype" w:hAnsi="Palatino Linotype" w:cs="Arial"/>
          <w:b/>
        </w:rPr>
        <w:t>SEX</w:t>
      </w:r>
      <w:r w:rsidRPr="00DD59EA">
        <w:rPr>
          <w:rFonts w:ascii="Palatino Linotype" w:hAnsi="Palatino Linotype" w:cs="Arial"/>
          <w:b/>
        </w:rPr>
        <w:t>TO</w:t>
      </w:r>
      <w:r w:rsidRPr="00DD59EA">
        <w:rPr>
          <w:rFonts w:ascii="Palatino Linotype" w:hAnsi="Palatino Linotype" w:cs="Arial"/>
        </w:rPr>
        <w:t xml:space="preserve"> </w:t>
      </w:r>
      <w:r w:rsidRPr="00DD59EA">
        <w:rPr>
          <w:rFonts w:ascii="Palatino Linotype" w:hAnsi="Palatino Linotype" w:cs="Arial"/>
          <w:lang w:val="es-ES"/>
        </w:rPr>
        <w:t xml:space="preserve">de la presente resolución, y haga entrega a </w:t>
      </w:r>
      <w:r w:rsidRPr="00DD59EA">
        <w:rPr>
          <w:rFonts w:ascii="Palatino Linotype" w:hAnsi="Palatino Linotype" w:cs="Arial"/>
          <w:b/>
          <w:lang w:val="es-ES"/>
        </w:rPr>
        <w:t>LA RECURRENTE</w:t>
      </w:r>
      <w:r w:rsidRPr="00DD59EA">
        <w:rPr>
          <w:rFonts w:ascii="Palatino Linotype" w:hAnsi="Palatino Linotype" w:cs="Arial"/>
          <w:lang w:val="es-ES"/>
        </w:rPr>
        <w:t xml:space="preserve">, </w:t>
      </w:r>
      <w:r w:rsidR="0020599D" w:rsidRPr="00DD59EA">
        <w:rPr>
          <w:rFonts w:ascii="Palatino Linotype" w:hAnsi="Palatino Linotype" w:cs="Arial"/>
          <w:lang w:val="es-ES"/>
        </w:rPr>
        <w:t xml:space="preserve">previa </w:t>
      </w:r>
      <w:r w:rsidR="0020599D" w:rsidRPr="00DD59EA">
        <w:rPr>
          <w:rFonts w:ascii="Palatino Linotype" w:hAnsi="Palatino Linotype" w:cs="Arial"/>
          <w:b/>
          <w:lang w:val="es-ES"/>
        </w:rPr>
        <w:t xml:space="preserve">búsqueda exhaustiva </w:t>
      </w:r>
      <w:r w:rsidR="0020599D" w:rsidRPr="00DD59EA">
        <w:rPr>
          <w:rFonts w:ascii="Palatino Linotype" w:hAnsi="Palatino Linotype" w:cs="Arial"/>
          <w:lang w:val="es-ES"/>
        </w:rPr>
        <w:t>y</w:t>
      </w:r>
      <w:r w:rsidR="0020599D" w:rsidRPr="00DD59EA">
        <w:rPr>
          <w:rFonts w:ascii="Palatino Linotype" w:hAnsi="Palatino Linotype" w:cs="Arial"/>
          <w:b/>
          <w:lang w:val="es-ES"/>
        </w:rPr>
        <w:t xml:space="preserve"> </w:t>
      </w:r>
      <w:r w:rsidR="0020599D" w:rsidRPr="00DD59EA">
        <w:rPr>
          <w:rFonts w:ascii="Palatino Linotype" w:hAnsi="Palatino Linotype" w:cs="Arial"/>
          <w:b/>
          <w:lang w:val="es-ES"/>
        </w:rPr>
        <w:lastRenderedPageBreak/>
        <w:t>razonable</w:t>
      </w:r>
      <w:r w:rsidR="0020599D" w:rsidRPr="00DD59EA">
        <w:rPr>
          <w:rFonts w:ascii="Palatino Linotype" w:hAnsi="Palatino Linotype" w:cs="Arial"/>
          <w:lang w:val="es-ES"/>
        </w:rPr>
        <w:t xml:space="preserve">, </w:t>
      </w:r>
      <w:r w:rsidR="00F1745D" w:rsidRPr="00DD59EA">
        <w:rPr>
          <w:rFonts w:ascii="Palatino Linotype" w:hAnsi="Palatino Linotype" w:cs="Arial"/>
          <w:lang w:val="es-ES"/>
        </w:rPr>
        <w:t xml:space="preserve">a través del </w:t>
      </w:r>
      <w:r w:rsidRPr="00DD59EA">
        <w:rPr>
          <w:rFonts w:ascii="Palatino Linotype" w:hAnsi="Palatino Linotype" w:cs="Arial"/>
          <w:b/>
          <w:lang w:val="es-ES"/>
        </w:rPr>
        <w:t>SAIMEX</w:t>
      </w:r>
      <w:r w:rsidRPr="00DD59EA">
        <w:rPr>
          <w:rFonts w:ascii="Palatino Linotype" w:hAnsi="Palatino Linotype" w:cs="Arial"/>
          <w:lang w:val="es-ES"/>
        </w:rPr>
        <w:t xml:space="preserve">, en </w:t>
      </w:r>
      <w:r w:rsidRPr="00DD59EA">
        <w:rPr>
          <w:rFonts w:ascii="Palatino Linotype" w:hAnsi="Palatino Linotype" w:cs="Arial"/>
          <w:b/>
          <w:lang w:val="es-ES"/>
        </w:rPr>
        <w:t>versión pública</w:t>
      </w:r>
      <w:r w:rsidR="00CA1A70" w:rsidRPr="00DD59EA">
        <w:rPr>
          <w:rFonts w:ascii="Palatino Linotype" w:hAnsi="Palatino Linotype" w:cs="Arial"/>
          <w:lang w:val="es-ES"/>
        </w:rPr>
        <w:t xml:space="preserve">, el documento o documentos en donde conste o se pueda advertir del </w:t>
      </w:r>
      <w:r w:rsidRPr="00DD59EA">
        <w:rPr>
          <w:rFonts w:ascii="Palatino Linotype" w:hAnsi="Palatino Linotype" w:cs="Arial"/>
          <w:lang w:val="es-ES"/>
        </w:rPr>
        <w:t xml:space="preserve">servidor público referido </w:t>
      </w:r>
      <w:r w:rsidR="00CA1A70" w:rsidRPr="00DD59EA">
        <w:rPr>
          <w:rFonts w:ascii="Palatino Linotype" w:hAnsi="Palatino Linotype" w:cs="Arial"/>
          <w:lang w:val="es-ES"/>
        </w:rPr>
        <w:t>en las solicitudes de información lo siguiente:</w:t>
      </w:r>
    </w:p>
    <w:p w:rsidR="00CA1A70" w:rsidRPr="00DD59EA" w:rsidRDefault="0074129E" w:rsidP="00CA1A70">
      <w:pPr>
        <w:pStyle w:val="Prrafodelista"/>
        <w:tabs>
          <w:tab w:val="left" w:pos="7371"/>
        </w:tabs>
        <w:ind w:left="851" w:right="899"/>
        <w:jc w:val="both"/>
        <w:rPr>
          <w:rFonts w:ascii="Palatino Linotype" w:hAnsi="Palatino Linotype" w:cs="Arial"/>
          <w:i/>
          <w:color w:val="000000" w:themeColor="text1"/>
          <w:sz w:val="22"/>
          <w:szCs w:val="22"/>
        </w:rPr>
      </w:pPr>
      <w:r w:rsidRPr="00DD59EA">
        <w:rPr>
          <w:rFonts w:ascii="Palatino Linotype" w:hAnsi="Palatino Linotype" w:cs="Arial"/>
          <w:i/>
          <w:color w:val="000000" w:themeColor="text1"/>
          <w:sz w:val="22"/>
          <w:szCs w:val="22"/>
        </w:rPr>
        <w:t>“</w:t>
      </w:r>
      <w:r w:rsidR="00CA1A70" w:rsidRPr="00DD59EA">
        <w:rPr>
          <w:rFonts w:ascii="Palatino Linotype" w:hAnsi="Palatino Linotype" w:cs="Arial"/>
          <w:i/>
          <w:color w:val="000000" w:themeColor="text1"/>
          <w:sz w:val="22"/>
          <w:szCs w:val="22"/>
        </w:rPr>
        <w:t>a) Las cantidades adeudadas por concepto de sueldo al 7 de enero de 2019; y,</w:t>
      </w:r>
    </w:p>
    <w:p w:rsidR="00CA1A70" w:rsidRPr="00DD59EA" w:rsidRDefault="00CA1A70" w:rsidP="00CA1A70">
      <w:pPr>
        <w:pStyle w:val="Prrafodelista"/>
        <w:tabs>
          <w:tab w:val="left" w:pos="7371"/>
        </w:tabs>
        <w:ind w:left="851" w:right="899"/>
        <w:jc w:val="both"/>
        <w:rPr>
          <w:rFonts w:ascii="Palatino Linotype" w:hAnsi="Palatino Linotype" w:cs="Arial"/>
          <w:i/>
          <w:color w:val="000000" w:themeColor="text1"/>
          <w:sz w:val="16"/>
          <w:szCs w:val="16"/>
        </w:rPr>
      </w:pPr>
    </w:p>
    <w:p w:rsidR="00CA1A70" w:rsidRPr="00DD59EA" w:rsidRDefault="003D7A48" w:rsidP="00CA1A70">
      <w:pPr>
        <w:pStyle w:val="Prrafodelista"/>
        <w:tabs>
          <w:tab w:val="left" w:pos="7371"/>
        </w:tabs>
        <w:ind w:left="851" w:right="899"/>
        <w:jc w:val="both"/>
        <w:rPr>
          <w:rFonts w:ascii="Palatino Linotype" w:hAnsi="Palatino Linotype" w:cs="Arial"/>
          <w:i/>
          <w:color w:val="000000" w:themeColor="text1"/>
          <w:sz w:val="22"/>
          <w:szCs w:val="22"/>
        </w:rPr>
      </w:pPr>
      <w:r w:rsidRPr="00DD59EA">
        <w:rPr>
          <w:rFonts w:ascii="Palatino Linotype" w:hAnsi="Palatino Linotype" w:cs="Arial"/>
          <w:i/>
          <w:color w:val="000000" w:themeColor="text1"/>
          <w:sz w:val="22"/>
          <w:szCs w:val="22"/>
        </w:rPr>
        <w:t>b) Las</w:t>
      </w:r>
      <w:r w:rsidR="00CA1A70" w:rsidRPr="00DD59EA">
        <w:rPr>
          <w:rFonts w:ascii="Palatino Linotype" w:hAnsi="Palatino Linotype" w:cs="Arial"/>
          <w:i/>
          <w:color w:val="000000" w:themeColor="text1"/>
          <w:sz w:val="22"/>
          <w:szCs w:val="22"/>
        </w:rPr>
        <w:t xml:space="preserve"> </w:t>
      </w:r>
      <w:r w:rsidR="00DD59EA" w:rsidRPr="00DD59EA">
        <w:rPr>
          <w:rFonts w:ascii="Palatino Linotype" w:hAnsi="Palatino Linotype" w:cs="Arial"/>
          <w:i/>
          <w:color w:val="000000" w:themeColor="text1"/>
          <w:sz w:val="22"/>
          <w:szCs w:val="22"/>
        </w:rPr>
        <w:t>promociones laborales</w:t>
      </w:r>
      <w:r w:rsidR="00CA1A70" w:rsidRPr="00DD59EA">
        <w:rPr>
          <w:rFonts w:ascii="Palatino Linotype" w:hAnsi="Palatino Linotype" w:cs="Arial"/>
          <w:i/>
          <w:color w:val="000000" w:themeColor="text1"/>
          <w:sz w:val="22"/>
          <w:szCs w:val="22"/>
        </w:rPr>
        <w:t xml:space="preserve"> </w:t>
      </w:r>
      <w:r w:rsidR="00DD59EA" w:rsidRPr="00DD59EA">
        <w:rPr>
          <w:rFonts w:ascii="Palatino Linotype" w:hAnsi="Palatino Linotype" w:cs="Arial"/>
          <w:i/>
          <w:color w:val="000000" w:themeColor="text1"/>
          <w:sz w:val="22"/>
          <w:szCs w:val="22"/>
        </w:rPr>
        <w:t xml:space="preserve">de las cuales hubiera sido objeto de </w:t>
      </w:r>
      <w:r w:rsidR="00CA1A70" w:rsidRPr="00DD59EA">
        <w:rPr>
          <w:rFonts w:ascii="Palatino Linotype" w:hAnsi="Palatino Linotype" w:cs="Arial"/>
          <w:i/>
          <w:color w:val="000000" w:themeColor="text1"/>
          <w:sz w:val="22"/>
          <w:szCs w:val="22"/>
        </w:rPr>
        <w:t>durante el periodo del 1 de enero al 31 de diciembre de 2018</w:t>
      </w:r>
      <w:r w:rsidR="00DD59EA" w:rsidRPr="00DD59EA">
        <w:rPr>
          <w:rFonts w:ascii="Palatino Linotype" w:hAnsi="Palatino Linotype" w:cs="Arial"/>
          <w:i/>
          <w:color w:val="000000" w:themeColor="text1"/>
          <w:sz w:val="22"/>
          <w:szCs w:val="22"/>
        </w:rPr>
        <w:t>, así como los recibos de nómina de los cuales se pueda advertir las mismas.</w:t>
      </w:r>
    </w:p>
    <w:p w:rsidR="00CA1A70" w:rsidRPr="00DD59EA" w:rsidRDefault="00CA1A70" w:rsidP="00F1745D">
      <w:pPr>
        <w:pStyle w:val="Prrafodelista"/>
        <w:tabs>
          <w:tab w:val="left" w:pos="7371"/>
        </w:tabs>
        <w:ind w:left="851" w:right="899"/>
        <w:jc w:val="both"/>
        <w:rPr>
          <w:rFonts w:ascii="Palatino Linotype" w:hAnsi="Palatino Linotype" w:cs="Arial"/>
          <w:i/>
          <w:color w:val="000000" w:themeColor="text1"/>
          <w:sz w:val="16"/>
          <w:szCs w:val="16"/>
        </w:rPr>
      </w:pPr>
    </w:p>
    <w:p w:rsidR="0074129E" w:rsidRPr="00DD59EA" w:rsidRDefault="0074129E" w:rsidP="00F1745D">
      <w:pPr>
        <w:pStyle w:val="Prrafodelista"/>
        <w:ind w:left="851" w:right="899"/>
        <w:jc w:val="both"/>
        <w:rPr>
          <w:rFonts w:ascii="Palatino Linotype" w:hAnsi="Palatino Linotype"/>
          <w:i/>
          <w:sz w:val="22"/>
          <w:szCs w:val="22"/>
        </w:rPr>
      </w:pPr>
      <w:r w:rsidRPr="00DD59EA">
        <w:rPr>
          <w:rFonts w:ascii="Palatino Linotype" w:hAnsi="Palatino Linotype"/>
          <w:i/>
          <w:sz w:val="22"/>
          <w:szCs w:val="22"/>
        </w:rPr>
        <w:t>Debiendo notificar a</w:t>
      </w:r>
      <w:r w:rsidR="0020599D" w:rsidRPr="00DD59EA">
        <w:rPr>
          <w:rFonts w:ascii="Palatino Linotype" w:hAnsi="Palatino Linotype"/>
          <w:i/>
          <w:sz w:val="22"/>
          <w:szCs w:val="22"/>
        </w:rPr>
        <w:t xml:space="preserve"> </w:t>
      </w:r>
      <w:r w:rsidR="0020599D" w:rsidRPr="00DD59EA">
        <w:rPr>
          <w:rFonts w:ascii="Palatino Linotype" w:hAnsi="Palatino Linotype"/>
          <w:b/>
          <w:i/>
          <w:sz w:val="22"/>
          <w:szCs w:val="22"/>
        </w:rPr>
        <w:t>LA R</w:t>
      </w:r>
      <w:r w:rsidRPr="00DD59EA">
        <w:rPr>
          <w:rFonts w:ascii="Palatino Linotype" w:hAnsi="Palatino Linotype"/>
          <w:b/>
          <w:i/>
          <w:sz w:val="22"/>
          <w:szCs w:val="22"/>
        </w:rPr>
        <w:t>ECURRENTE</w:t>
      </w:r>
      <w:r w:rsidRPr="00DD59EA">
        <w:rPr>
          <w:rFonts w:ascii="Palatino Linotype" w:hAnsi="Palatino Linotype"/>
          <w:i/>
          <w:sz w:val="22"/>
          <w:szCs w:val="22"/>
        </w:rPr>
        <w:t xml:space="preserve"> el Acuerdo de Clasificación de la información que emita en su caso el Comité de Transparencia con motivo de la versión pública.</w:t>
      </w:r>
    </w:p>
    <w:p w:rsidR="0074129E" w:rsidRPr="00DD59EA" w:rsidRDefault="0074129E" w:rsidP="00F1745D">
      <w:pPr>
        <w:ind w:left="851" w:right="899"/>
        <w:jc w:val="both"/>
        <w:rPr>
          <w:rFonts w:ascii="Palatino Linotype" w:hAnsi="Palatino Linotype"/>
          <w:i/>
          <w:sz w:val="16"/>
          <w:szCs w:val="16"/>
        </w:rPr>
      </w:pPr>
    </w:p>
    <w:p w:rsidR="0074129E" w:rsidRPr="00DD59EA" w:rsidRDefault="0074129E" w:rsidP="00CA1A70">
      <w:pPr>
        <w:pStyle w:val="Prrafodelista"/>
        <w:ind w:left="851" w:right="899"/>
        <w:jc w:val="both"/>
        <w:rPr>
          <w:rFonts w:ascii="Palatino Linotype" w:hAnsi="Palatino Linotype"/>
          <w:i/>
          <w:sz w:val="22"/>
          <w:szCs w:val="22"/>
        </w:rPr>
      </w:pPr>
      <w:r w:rsidRPr="00DD59EA">
        <w:rPr>
          <w:rFonts w:ascii="Palatino Linotype" w:hAnsi="Palatino Linotype"/>
          <w:i/>
          <w:sz w:val="22"/>
          <w:szCs w:val="22"/>
        </w:rPr>
        <w:t xml:space="preserve">Para el caso </w:t>
      </w:r>
      <w:r w:rsidR="00CA1A70" w:rsidRPr="00DD59EA">
        <w:rPr>
          <w:rFonts w:ascii="Palatino Linotype" w:hAnsi="Palatino Linotype"/>
          <w:i/>
          <w:sz w:val="22"/>
          <w:szCs w:val="22"/>
        </w:rPr>
        <w:t>que derivado de la búsqueda exhaustiva y razonable</w:t>
      </w:r>
      <w:r w:rsidRPr="00DD59EA">
        <w:rPr>
          <w:rFonts w:ascii="Palatino Linotype" w:hAnsi="Palatino Linotype"/>
          <w:i/>
          <w:sz w:val="22"/>
          <w:szCs w:val="22"/>
        </w:rPr>
        <w:t xml:space="preserve"> </w:t>
      </w:r>
      <w:r w:rsidR="00CA1A70" w:rsidRPr="00DD59EA">
        <w:rPr>
          <w:rFonts w:ascii="Palatino Linotype" w:hAnsi="Palatino Linotype"/>
          <w:b/>
          <w:i/>
          <w:sz w:val="22"/>
          <w:szCs w:val="22"/>
        </w:rPr>
        <w:t xml:space="preserve">EL SUJETO OBLIGADO </w:t>
      </w:r>
      <w:r w:rsidR="0020599D" w:rsidRPr="00DD59EA">
        <w:rPr>
          <w:rFonts w:ascii="Palatino Linotype" w:hAnsi="Palatino Linotype"/>
          <w:i/>
          <w:sz w:val="22"/>
          <w:szCs w:val="22"/>
        </w:rPr>
        <w:t>no localizar</w:t>
      </w:r>
      <w:r w:rsidR="00CA1A70" w:rsidRPr="00DD59EA">
        <w:rPr>
          <w:rFonts w:ascii="Palatino Linotype" w:hAnsi="Palatino Linotype"/>
          <w:i/>
          <w:sz w:val="22"/>
          <w:szCs w:val="22"/>
        </w:rPr>
        <w:t>a</w:t>
      </w:r>
      <w:r w:rsidR="0020599D" w:rsidRPr="00DD59EA">
        <w:rPr>
          <w:rFonts w:ascii="Palatino Linotype" w:hAnsi="Palatino Linotype"/>
          <w:i/>
          <w:sz w:val="22"/>
          <w:szCs w:val="22"/>
        </w:rPr>
        <w:t xml:space="preserve"> la información</w:t>
      </w:r>
      <w:r w:rsidR="00CA1A70" w:rsidRPr="00DD59EA">
        <w:rPr>
          <w:rFonts w:ascii="Palatino Linotype" w:hAnsi="Palatino Linotype"/>
          <w:i/>
          <w:sz w:val="22"/>
          <w:szCs w:val="22"/>
        </w:rPr>
        <w:t xml:space="preserve"> que se ordena, bastará con</w:t>
      </w:r>
      <w:r w:rsidR="0020599D" w:rsidRPr="00DD59EA">
        <w:rPr>
          <w:rFonts w:ascii="Palatino Linotype" w:hAnsi="Palatino Linotype"/>
          <w:i/>
          <w:sz w:val="22"/>
          <w:szCs w:val="22"/>
        </w:rPr>
        <w:t xml:space="preserve"> que lo haga del conocimiento de </w:t>
      </w:r>
      <w:r w:rsidR="0020599D" w:rsidRPr="00DD59EA">
        <w:rPr>
          <w:rFonts w:ascii="Palatino Linotype" w:hAnsi="Palatino Linotype"/>
          <w:b/>
          <w:i/>
          <w:sz w:val="22"/>
          <w:szCs w:val="22"/>
        </w:rPr>
        <w:t xml:space="preserve">LA </w:t>
      </w:r>
      <w:r w:rsidR="00F1745D" w:rsidRPr="00DD59EA">
        <w:rPr>
          <w:rFonts w:ascii="Palatino Linotype" w:hAnsi="Palatino Linotype"/>
          <w:b/>
          <w:i/>
          <w:sz w:val="22"/>
          <w:szCs w:val="22"/>
        </w:rPr>
        <w:t xml:space="preserve">RECURRENTE </w:t>
      </w:r>
      <w:r w:rsidR="00F1745D" w:rsidRPr="00DD59EA">
        <w:rPr>
          <w:rFonts w:ascii="Palatino Linotype" w:hAnsi="Palatino Linotype"/>
          <w:i/>
          <w:sz w:val="22"/>
          <w:szCs w:val="22"/>
        </w:rPr>
        <w:t>al momento de dar cumplimiento a la presente resolución.</w:t>
      </w:r>
      <w:r w:rsidRPr="00DD59EA">
        <w:rPr>
          <w:rFonts w:ascii="Palatino Linotype" w:hAnsi="Palatino Linotype"/>
          <w:i/>
          <w:sz w:val="22"/>
          <w:szCs w:val="22"/>
        </w:rPr>
        <w:t>”</w:t>
      </w:r>
    </w:p>
    <w:p w:rsidR="0074129E" w:rsidRPr="00DD59EA" w:rsidRDefault="0074129E" w:rsidP="00F1745D">
      <w:pPr>
        <w:spacing w:before="100" w:beforeAutospacing="1" w:after="100" w:afterAutospacing="1" w:line="360" w:lineRule="auto"/>
        <w:jc w:val="both"/>
        <w:rPr>
          <w:rFonts w:ascii="Palatino Linotype" w:hAnsi="Palatino Linotype"/>
          <w:color w:val="222222"/>
          <w:shd w:val="clear" w:color="auto" w:fill="FFFFFF"/>
        </w:rPr>
      </w:pPr>
      <w:r w:rsidRPr="00DD59EA">
        <w:rPr>
          <w:rFonts w:ascii="Palatino Linotype" w:hAnsi="Palatino Linotype"/>
          <w:b/>
          <w:color w:val="222222"/>
          <w:sz w:val="28"/>
          <w:szCs w:val="28"/>
          <w:shd w:val="clear" w:color="auto" w:fill="FFFFFF"/>
        </w:rPr>
        <w:t>TERCERO.</w:t>
      </w:r>
      <w:r w:rsidRPr="00DD59EA">
        <w:rPr>
          <w:rStyle w:val="apple-converted-space"/>
          <w:rFonts w:ascii="Palatino Linotype" w:hAnsi="Palatino Linotype"/>
          <w:b/>
          <w:color w:val="222222"/>
          <w:shd w:val="clear" w:color="auto" w:fill="FFFFFF"/>
        </w:rPr>
        <w:t> </w:t>
      </w:r>
      <w:r w:rsidRPr="00DD59EA">
        <w:rPr>
          <w:rFonts w:ascii="Palatino Linotype" w:hAnsi="Palatino Linotype"/>
          <w:b/>
          <w:color w:val="222222"/>
          <w:lang w:eastAsia="es-ES_tradnl"/>
        </w:rPr>
        <w:t>Notifíquese</w:t>
      </w:r>
      <w:r w:rsidRPr="00DD59EA">
        <w:rPr>
          <w:rFonts w:ascii="Palatino Linotype" w:hAnsi="Palatino Linotype"/>
          <w:color w:val="222222"/>
          <w:lang w:eastAsia="es-ES_tradnl"/>
        </w:rPr>
        <w:t xml:space="preserve"> </w:t>
      </w:r>
      <w:r w:rsidRPr="00DD59EA">
        <w:rPr>
          <w:rFonts w:ascii="Palatino Linotype" w:hAnsi="Palatino Linotype"/>
          <w:color w:val="222222"/>
          <w:shd w:val="clear" w:color="auto" w:fill="FFFFFF"/>
        </w:rPr>
        <w:t>al Titular de la Unidad de Transparencia del</w:t>
      </w:r>
      <w:r w:rsidRPr="00DD59EA">
        <w:rPr>
          <w:rStyle w:val="apple-converted-space"/>
          <w:rFonts w:ascii="Palatino Linotype" w:hAnsi="Palatino Linotype"/>
          <w:b/>
          <w:color w:val="222222"/>
          <w:shd w:val="clear" w:color="auto" w:fill="FFFFFF"/>
        </w:rPr>
        <w:t> </w:t>
      </w:r>
      <w:r w:rsidRPr="00DD59EA">
        <w:rPr>
          <w:rFonts w:ascii="Palatino Linotype" w:hAnsi="Palatino Linotype"/>
          <w:b/>
          <w:color w:val="222222"/>
          <w:shd w:val="clear" w:color="auto" w:fill="FFFFFF"/>
        </w:rPr>
        <w:t>SUJETO OBLIGADO</w:t>
      </w:r>
      <w:r w:rsidRPr="00DD59EA">
        <w:rPr>
          <w:rFonts w:ascii="Palatino Linotype" w:hAnsi="Palatino Linotype"/>
          <w:color w:val="222222"/>
          <w:shd w:val="clear" w:color="auto" w:fill="FFFFFF"/>
        </w:rPr>
        <w:t xml:space="preserve">, para que conforme a los artículos 186, último párrafo y 189, párrafo segundo de la Ley de </w:t>
      </w:r>
      <w:r w:rsidRPr="00DD59EA">
        <w:rPr>
          <w:rFonts w:ascii="Palatino Linotype" w:hAnsi="Palatino Linotype" w:cs="Arial"/>
        </w:rPr>
        <w:t>Transparencia</w:t>
      </w:r>
      <w:r w:rsidRPr="00DD59EA">
        <w:rPr>
          <w:rFonts w:ascii="Palatino Linotype" w:hAnsi="Palatino Linotype"/>
          <w:color w:val="222222"/>
          <w:shd w:val="clear" w:color="auto" w:fill="FFFFFF"/>
        </w:rPr>
        <w:t xml:space="preserve"> y Acceso a la Información Pública del Estado de México y Municipios, dé </w:t>
      </w:r>
      <w:r w:rsidRPr="00DD59EA">
        <w:rPr>
          <w:rFonts w:ascii="Palatino Linotype" w:hAnsi="Palatino Linotype" w:cs="Arial"/>
        </w:rPr>
        <w:t>cumplimiento</w:t>
      </w:r>
      <w:r w:rsidRPr="00DD59EA">
        <w:rPr>
          <w:rFonts w:ascii="Palatino Linotype" w:hAnsi="Palatino Linotype"/>
          <w:color w:val="222222"/>
          <w:shd w:val="clear" w:color="auto" w:fill="FFFFFF"/>
        </w:rPr>
        <w:t xml:space="preserve"> a lo ordenado dentro del plazo de diez días hábiles, debiendo </w:t>
      </w:r>
      <w:r w:rsidRPr="00DD59EA">
        <w:rPr>
          <w:rFonts w:ascii="Palatino Linotype" w:hAnsi="Palatino Linotype" w:cs="Arial"/>
        </w:rPr>
        <w:t>informar</w:t>
      </w:r>
      <w:r w:rsidRPr="00DD59EA">
        <w:rPr>
          <w:rFonts w:ascii="Palatino Linotype" w:hAnsi="Palatino Linotype"/>
          <w:color w:val="222222"/>
          <w:shd w:val="clear" w:color="auto" w:fill="FFFFFF"/>
        </w:rPr>
        <w:t xml:space="preserve"> a este Instituto en un plazo </w:t>
      </w:r>
      <w:r w:rsidRPr="00DD59EA">
        <w:rPr>
          <w:rFonts w:ascii="Palatino Linotype" w:hAnsi="Palatino Linotype"/>
          <w:color w:val="222222"/>
          <w:lang w:eastAsia="es-ES_tradnl"/>
        </w:rPr>
        <w:t>de</w:t>
      </w:r>
      <w:r w:rsidRPr="00DD59EA">
        <w:rPr>
          <w:rFonts w:ascii="Palatino Linotype" w:hAnsi="Palatino Linotype"/>
          <w:color w:val="222222"/>
          <w:shd w:val="clear" w:color="auto" w:fill="FFFFFF"/>
        </w:rPr>
        <w:t xml:space="preserve"> tres días hábiles siguientes sobre el cumplimiento dado a la presente resolución.</w:t>
      </w:r>
    </w:p>
    <w:p w:rsidR="0074129E" w:rsidRPr="00DD59EA" w:rsidRDefault="0074129E" w:rsidP="00F1745D">
      <w:pPr>
        <w:spacing w:before="100" w:beforeAutospacing="1" w:after="100" w:afterAutospacing="1" w:line="360" w:lineRule="auto"/>
        <w:jc w:val="both"/>
        <w:rPr>
          <w:rFonts w:ascii="Palatino Linotype" w:eastAsia="Calibri" w:hAnsi="Palatino Linotype" w:cs="Arial"/>
        </w:rPr>
      </w:pPr>
      <w:r w:rsidRPr="00DD59EA">
        <w:rPr>
          <w:rFonts w:ascii="Palatino Linotype" w:hAnsi="Palatino Linotype"/>
          <w:b/>
          <w:color w:val="222222"/>
          <w:sz w:val="28"/>
          <w:szCs w:val="28"/>
          <w:shd w:val="clear" w:color="auto" w:fill="FFFFFF"/>
        </w:rPr>
        <w:t>CUARTO</w:t>
      </w:r>
      <w:r w:rsidRPr="00DD59EA">
        <w:rPr>
          <w:rFonts w:ascii="Palatino Linotype" w:hAnsi="Palatino Linotype" w:cs="Arial"/>
          <w:b/>
          <w:bCs/>
          <w:color w:val="222222"/>
          <w:lang w:eastAsia="es-MX"/>
        </w:rPr>
        <w:t xml:space="preserve">. </w:t>
      </w:r>
      <w:r w:rsidRPr="00DD59EA">
        <w:rPr>
          <w:rFonts w:ascii="Palatino Linotype" w:hAnsi="Palatino Linotype"/>
          <w:b/>
          <w:color w:val="222222"/>
          <w:lang w:eastAsia="es-ES_tradnl"/>
        </w:rPr>
        <w:t>Notifíquese</w:t>
      </w:r>
      <w:r w:rsidRPr="00DD59EA">
        <w:rPr>
          <w:rFonts w:ascii="Palatino Linotype" w:hAnsi="Palatino Linotype"/>
          <w:color w:val="222222"/>
          <w:lang w:eastAsia="es-ES_tradnl"/>
        </w:rPr>
        <w:t xml:space="preserve"> a </w:t>
      </w:r>
      <w:r w:rsidR="00F1745D" w:rsidRPr="00DD59EA">
        <w:rPr>
          <w:rFonts w:ascii="Palatino Linotype" w:hAnsi="Palatino Linotype"/>
          <w:b/>
          <w:color w:val="222222"/>
          <w:lang w:eastAsia="es-ES_tradnl"/>
        </w:rPr>
        <w:t>LA R</w:t>
      </w:r>
      <w:r w:rsidRPr="00DD59EA">
        <w:rPr>
          <w:rFonts w:ascii="Palatino Linotype" w:hAnsi="Palatino Linotype"/>
          <w:b/>
          <w:color w:val="222222"/>
          <w:lang w:eastAsia="es-ES_tradnl"/>
        </w:rPr>
        <w:t>ECURRENTE</w:t>
      </w:r>
      <w:r w:rsidRPr="00DD59EA">
        <w:rPr>
          <w:rFonts w:ascii="Palatino Linotype" w:hAnsi="Palatino Linotype"/>
          <w:color w:val="222222"/>
          <w:lang w:eastAsia="es-ES_tradnl"/>
        </w:rPr>
        <w:t xml:space="preserve"> la </w:t>
      </w:r>
      <w:r w:rsidRPr="00DD59EA">
        <w:rPr>
          <w:rFonts w:ascii="Palatino Linotype" w:hAnsi="Palatino Linotype" w:cs="Arial"/>
        </w:rPr>
        <w:t>presente</w:t>
      </w:r>
      <w:r w:rsidRPr="00DD59EA">
        <w:rPr>
          <w:rFonts w:ascii="Palatino Linotype" w:hAnsi="Palatino Linotype"/>
          <w:color w:val="222222"/>
          <w:lang w:eastAsia="es-ES_tradnl"/>
        </w:rPr>
        <w:t xml:space="preserve"> resolución.</w:t>
      </w:r>
    </w:p>
    <w:p w:rsidR="0074129E" w:rsidRPr="00DD59EA" w:rsidRDefault="0074129E" w:rsidP="00F1745D">
      <w:pPr>
        <w:spacing w:before="100" w:beforeAutospacing="1" w:after="100" w:afterAutospacing="1" w:line="360" w:lineRule="auto"/>
        <w:jc w:val="both"/>
        <w:rPr>
          <w:rFonts w:ascii="Palatino Linotype" w:hAnsi="Palatino Linotype"/>
          <w:lang w:eastAsia="es-ES_tradnl"/>
        </w:rPr>
      </w:pPr>
      <w:r w:rsidRPr="00DD59EA">
        <w:rPr>
          <w:rFonts w:ascii="Palatino Linotype" w:hAnsi="Palatino Linotype"/>
          <w:b/>
          <w:color w:val="222222"/>
          <w:sz w:val="28"/>
          <w:szCs w:val="28"/>
          <w:shd w:val="clear" w:color="auto" w:fill="FFFFFF"/>
        </w:rPr>
        <w:t>QUINTO</w:t>
      </w:r>
      <w:r w:rsidRPr="00DD59EA">
        <w:rPr>
          <w:rFonts w:ascii="Palatino Linotype" w:hAnsi="Palatino Linotype" w:cs="Arial"/>
          <w:b/>
          <w:bCs/>
          <w:color w:val="222222"/>
          <w:sz w:val="28"/>
          <w:lang w:eastAsia="es-MX"/>
        </w:rPr>
        <w:t>.</w:t>
      </w:r>
      <w:r w:rsidRPr="00DD59EA">
        <w:rPr>
          <w:rFonts w:ascii="Palatino Linotype" w:hAnsi="Palatino Linotype"/>
          <w:color w:val="222222"/>
          <w:szCs w:val="17"/>
          <w:lang w:eastAsia="es-ES_tradnl"/>
        </w:rPr>
        <w:t xml:space="preserve"> </w:t>
      </w:r>
      <w:r w:rsidRPr="00DD59EA">
        <w:rPr>
          <w:rFonts w:ascii="Palatino Linotype" w:hAnsi="Palatino Linotype"/>
          <w:b/>
          <w:color w:val="222222"/>
          <w:lang w:eastAsia="es-ES_tradnl"/>
        </w:rPr>
        <w:t>Hágase del conocimiento</w:t>
      </w:r>
      <w:r w:rsidRPr="00DD59EA">
        <w:rPr>
          <w:rFonts w:ascii="Palatino Linotype" w:hAnsi="Palatino Linotype"/>
          <w:color w:val="222222"/>
          <w:lang w:eastAsia="es-ES_tradnl"/>
        </w:rPr>
        <w:t xml:space="preserve"> a </w:t>
      </w:r>
      <w:r w:rsidR="00F1745D" w:rsidRPr="00DD59EA">
        <w:rPr>
          <w:rFonts w:ascii="Palatino Linotype" w:hAnsi="Palatino Linotype"/>
          <w:b/>
          <w:color w:val="222222"/>
          <w:lang w:eastAsia="es-ES_tradnl"/>
        </w:rPr>
        <w:t>LA R</w:t>
      </w:r>
      <w:r w:rsidRPr="00DD59EA">
        <w:rPr>
          <w:rFonts w:ascii="Palatino Linotype" w:hAnsi="Palatino Linotype"/>
          <w:b/>
          <w:color w:val="222222"/>
          <w:lang w:eastAsia="es-ES_tradnl"/>
        </w:rPr>
        <w:t>ECURRENTE</w:t>
      </w:r>
      <w:r w:rsidRPr="00DD59EA">
        <w:rPr>
          <w:rFonts w:ascii="Palatino Linotype" w:hAnsi="Palatino Linotype"/>
          <w:color w:val="222222"/>
          <w:lang w:eastAsia="es-ES_tradnl"/>
        </w:rPr>
        <w:t xml:space="preserve"> que de conformidad con lo establecido en el </w:t>
      </w:r>
      <w:r w:rsidRPr="00DD59EA">
        <w:rPr>
          <w:rFonts w:ascii="Palatino Linotype" w:hAnsi="Palatino Linotype" w:cs="Arial"/>
        </w:rPr>
        <w:t>artículo</w:t>
      </w:r>
      <w:r w:rsidRPr="00DD59EA">
        <w:rPr>
          <w:rFonts w:ascii="Palatino Linotype" w:hAnsi="Palatino Linotype"/>
          <w:color w:val="222222"/>
          <w:lang w:eastAsia="es-ES_tradnl"/>
        </w:rPr>
        <w:t xml:space="preserve"> 196 de la </w:t>
      </w:r>
      <w:r w:rsidRPr="00DD59EA">
        <w:rPr>
          <w:rFonts w:ascii="Palatino Linotype" w:hAnsi="Palatino Linotype" w:cs="Arial"/>
        </w:rPr>
        <w:t>Ley</w:t>
      </w:r>
      <w:r w:rsidRPr="00DD59EA">
        <w:rPr>
          <w:rFonts w:ascii="Palatino Linotype" w:hAnsi="Palatino Linotype"/>
          <w:color w:val="222222"/>
          <w:lang w:eastAsia="es-ES_tradnl"/>
        </w:rPr>
        <w:t xml:space="preserve"> de Transparencia y Acceso a la Información </w:t>
      </w:r>
      <w:r w:rsidRPr="00DD59EA">
        <w:rPr>
          <w:rFonts w:ascii="Palatino Linotype" w:hAnsi="Palatino Linotype"/>
          <w:color w:val="222222"/>
          <w:lang w:eastAsia="es-ES_tradnl"/>
        </w:rPr>
        <w:lastRenderedPageBreak/>
        <w:t>Pública del Estado de México y Municipios, podrá impugnarla vía Juicio de Amparo en los términos de las leyes aplicables.</w:t>
      </w:r>
    </w:p>
    <w:p w:rsidR="00F1745D" w:rsidRPr="00DD59EA" w:rsidRDefault="00F1745D" w:rsidP="00F1745D">
      <w:pPr>
        <w:spacing w:before="100" w:beforeAutospacing="1" w:after="100" w:afterAutospacing="1" w:line="360" w:lineRule="auto"/>
        <w:jc w:val="both"/>
        <w:rPr>
          <w:rFonts w:ascii="Palatino Linotype" w:hAnsi="Palatino Linotype" w:cs="Arial"/>
          <w:lang w:val="es-ES_tradnl"/>
        </w:rPr>
      </w:pPr>
      <w:r w:rsidRPr="00DD59EA">
        <w:rPr>
          <w:rFonts w:ascii="Palatino Linotype" w:hAnsi="Palatino Linotype" w:cs="Arial"/>
        </w:rPr>
        <w:t>ASÍ LO RESUELVE, POR</w:t>
      </w:r>
      <w:r w:rsidR="00E51543">
        <w:rPr>
          <w:rFonts w:ascii="Palatino Linotype" w:hAnsi="Palatino Linotype" w:cs="Arial"/>
        </w:rPr>
        <w:t xml:space="preserve"> UNANIMIDAD</w:t>
      </w:r>
      <w:r w:rsidRPr="00DD59EA">
        <w:rPr>
          <w:rFonts w:ascii="Palatino Linotype" w:hAnsi="Palatino Linotype" w:cs="Arial"/>
        </w:rPr>
        <w:t xml:space="preserve"> DE VOTOS EL PLENO DEL</w:t>
      </w:r>
      <w:r w:rsidRPr="00DD59EA">
        <w:rPr>
          <w:rFonts w:ascii="Palatino Linotype" w:eastAsia="Arial Unicode MS" w:hAnsi="Palatino Linotype" w:cs="Arial"/>
        </w:rPr>
        <w:t xml:space="preserve"> INSTITUTO DE </w:t>
      </w:r>
      <w:r w:rsidRPr="00DD59EA">
        <w:rPr>
          <w:rFonts w:ascii="Palatino Linotype" w:hAnsi="Palatino Linotype"/>
          <w:lang w:eastAsia="en-US"/>
        </w:rPr>
        <w:t>TRANSPARENCIA</w:t>
      </w:r>
      <w:r w:rsidRPr="00DD59EA">
        <w:rPr>
          <w:rFonts w:ascii="Palatino Linotype" w:eastAsia="Arial Unicode MS" w:hAnsi="Palatino Linotype" w:cs="Arial"/>
        </w:rPr>
        <w:t>, ACCESO A LA INFORMACIÓN PÚBLICA Y PROTECCIÓN DE DATOS PERSONALES DEL ESTADO DE MÉXICO Y MUNICIPIOS</w:t>
      </w:r>
      <w:r w:rsidRPr="00DD59EA">
        <w:rPr>
          <w:rFonts w:ascii="Palatino Linotype" w:hAnsi="Palatino Linotype" w:cs="Arial"/>
        </w:rPr>
        <w:t>, CONFORMADO POR LOS COMISIONADOS ZULEMA MARTÍNEZ SÁNCHEZ; EVA ABAID YAPUR; JOSÉ GUADALUPE LUNA HERNÁNDEZ</w:t>
      </w:r>
      <w:r w:rsidR="00E51543">
        <w:rPr>
          <w:rFonts w:ascii="Palatino Linotype" w:hAnsi="Palatino Linotype" w:cs="Arial"/>
        </w:rPr>
        <w:t xml:space="preserve"> EMITIENDO VOTO PARTICULAR</w:t>
      </w:r>
      <w:r w:rsidRPr="00DD59EA">
        <w:rPr>
          <w:rFonts w:ascii="Palatino Linotype" w:hAnsi="Palatino Linotype" w:cs="Arial"/>
        </w:rPr>
        <w:t xml:space="preserve">, JAVIER MARTÍNEZ CRUZ Y LUIS GUSTAVO PARRA NORIEGA; </w:t>
      </w:r>
      <w:r w:rsidRPr="00DD59EA">
        <w:rPr>
          <w:rFonts w:ascii="Palatino Linotype" w:hAnsi="Palatino Linotype" w:cs="Arial"/>
          <w:shd w:val="clear" w:color="auto" w:fill="FFFFFF" w:themeFill="background1"/>
        </w:rPr>
        <w:t xml:space="preserve">EN LA </w:t>
      </w:r>
      <w:r w:rsidR="00CA1A70" w:rsidRPr="00DD59EA">
        <w:rPr>
          <w:rFonts w:ascii="Palatino Linotype" w:hAnsi="Palatino Linotype" w:cs="Arial"/>
        </w:rPr>
        <w:t>DÉCIMA QUINTA</w:t>
      </w:r>
      <w:r w:rsidRPr="00DD59EA">
        <w:rPr>
          <w:rFonts w:ascii="Palatino Linotype" w:hAnsi="Palatino Linotype" w:cs="Arial"/>
        </w:rPr>
        <w:t xml:space="preserve"> SESIÓN ORDINARIA CELEBRADA EL </w:t>
      </w:r>
      <w:r w:rsidR="00CA1A70" w:rsidRPr="00DD59EA">
        <w:rPr>
          <w:rFonts w:ascii="Palatino Linotype" w:hAnsi="Palatino Linotype" w:cs="Arial"/>
        </w:rPr>
        <w:t xml:space="preserve">VEINTICUATRO </w:t>
      </w:r>
      <w:r w:rsidRPr="00DD59EA">
        <w:rPr>
          <w:rFonts w:ascii="Palatino Linotype" w:hAnsi="Palatino Linotype" w:cs="Arial"/>
        </w:rPr>
        <w:t xml:space="preserve">DE ABRIL DE DOS MIL DIECINUEVE, ANTE EL SECRETARIO TÉCNICO DEL PLENO, </w:t>
      </w:r>
      <w:r w:rsidRPr="00DD59EA">
        <w:rPr>
          <w:rFonts w:ascii="Palatino Linotype" w:eastAsia="Arial Unicode MS" w:hAnsi="Palatino Linotype" w:cs="Arial"/>
        </w:rPr>
        <w:t>ALEXIS</w:t>
      </w:r>
      <w:r w:rsidRPr="00DD59EA">
        <w:rPr>
          <w:rFonts w:ascii="Palatino Linotype" w:hAnsi="Palatino Linotype" w:cs="Arial"/>
        </w:rPr>
        <w:t xml:space="preserve"> TAPIA RAMÍREZ.</w:t>
      </w:r>
    </w:p>
    <w:tbl>
      <w:tblPr>
        <w:tblW w:w="10365" w:type="dxa"/>
        <w:jc w:val="center"/>
        <w:tblLayout w:type="fixed"/>
        <w:tblLook w:val="04A0" w:firstRow="1" w:lastRow="0" w:firstColumn="1" w:lastColumn="0" w:noHBand="0" w:noVBand="1"/>
      </w:tblPr>
      <w:tblGrid>
        <w:gridCol w:w="5182"/>
        <w:gridCol w:w="5183"/>
      </w:tblGrid>
      <w:tr w:rsidR="00F1745D" w:rsidRPr="00DD59EA" w:rsidTr="00CC450C">
        <w:trPr>
          <w:jc w:val="center"/>
        </w:trPr>
        <w:tc>
          <w:tcPr>
            <w:tcW w:w="10365" w:type="dxa"/>
            <w:gridSpan w:val="2"/>
          </w:tcPr>
          <w:p w:rsidR="003D7A48" w:rsidRDefault="003D7A48"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Pr="00DD59EA" w:rsidRDefault="00E51543" w:rsidP="00CC450C">
            <w:pPr>
              <w:jc w:val="center"/>
              <w:rPr>
                <w:rFonts w:ascii="Palatino Linotype" w:hAnsi="Palatino Linotype" w:cs="Arial"/>
                <w:b/>
              </w:rPr>
            </w:pP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Zulema Martínez Sánchez</w:t>
            </w:r>
          </w:p>
          <w:p w:rsidR="00F1745D" w:rsidRPr="00DD59EA" w:rsidRDefault="00F1745D" w:rsidP="00CC450C">
            <w:pPr>
              <w:jc w:val="center"/>
              <w:rPr>
                <w:rFonts w:ascii="Palatino Linotype" w:hAnsi="Palatino Linotype" w:cs="Arial"/>
                <w:b/>
              </w:rPr>
            </w:pPr>
            <w:r w:rsidRPr="00DD59EA">
              <w:rPr>
                <w:rFonts w:ascii="Palatino Linotype" w:hAnsi="Palatino Linotype" w:cs="Arial"/>
              </w:rPr>
              <w:t>Comisionada Presidenta</w:t>
            </w: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 xml:space="preserve">(RÚBRICA) </w:t>
            </w:r>
          </w:p>
        </w:tc>
      </w:tr>
      <w:tr w:rsidR="00F1745D" w:rsidRPr="00DD59EA" w:rsidTr="00CC450C">
        <w:trPr>
          <w:jc w:val="center"/>
        </w:trPr>
        <w:tc>
          <w:tcPr>
            <w:tcW w:w="5182" w:type="dxa"/>
          </w:tcPr>
          <w:p w:rsidR="00F1745D" w:rsidRPr="00DD59EA" w:rsidRDefault="00F1745D" w:rsidP="00CC450C">
            <w:pPr>
              <w:jc w:val="center"/>
              <w:rPr>
                <w:rFonts w:ascii="Palatino Linotype" w:hAnsi="Palatino Linotype" w:cs="Arial"/>
                <w:b/>
              </w:rPr>
            </w:pPr>
          </w:p>
          <w:p w:rsidR="003D7A48" w:rsidRDefault="003D7A48"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Pr="00DD59EA" w:rsidRDefault="00E51543" w:rsidP="00CC450C">
            <w:pPr>
              <w:jc w:val="center"/>
              <w:rPr>
                <w:rFonts w:ascii="Palatino Linotype" w:hAnsi="Palatino Linotype" w:cs="Arial"/>
                <w:b/>
              </w:rPr>
            </w:pP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Eva Abaid Yapur</w:t>
            </w:r>
          </w:p>
          <w:p w:rsidR="00F1745D" w:rsidRPr="00DD59EA" w:rsidRDefault="00F1745D" w:rsidP="00CC450C">
            <w:pPr>
              <w:jc w:val="center"/>
              <w:rPr>
                <w:rFonts w:ascii="Palatino Linotype" w:hAnsi="Palatino Linotype" w:cs="Arial"/>
              </w:rPr>
            </w:pPr>
            <w:r w:rsidRPr="00DD59EA">
              <w:rPr>
                <w:rFonts w:ascii="Palatino Linotype" w:hAnsi="Palatino Linotype" w:cs="Arial"/>
              </w:rPr>
              <w:t>Comisionada</w:t>
            </w: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(RÚBRICA)</w:t>
            </w:r>
          </w:p>
        </w:tc>
        <w:tc>
          <w:tcPr>
            <w:tcW w:w="5183" w:type="dxa"/>
          </w:tcPr>
          <w:p w:rsidR="00F1745D" w:rsidRDefault="00F1745D"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Pr="00DD59EA" w:rsidRDefault="00E51543" w:rsidP="00CC450C">
            <w:pPr>
              <w:jc w:val="center"/>
              <w:rPr>
                <w:rFonts w:ascii="Palatino Linotype" w:hAnsi="Palatino Linotype" w:cs="Arial"/>
                <w:b/>
              </w:rPr>
            </w:pPr>
          </w:p>
          <w:p w:rsidR="003D7A48" w:rsidRPr="00DD59EA" w:rsidRDefault="003D7A48" w:rsidP="00CC450C">
            <w:pPr>
              <w:jc w:val="center"/>
              <w:rPr>
                <w:rFonts w:ascii="Palatino Linotype" w:hAnsi="Palatino Linotype" w:cs="Arial"/>
                <w:b/>
              </w:rPr>
            </w:pP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José Guadalupe Luna Hernández</w:t>
            </w:r>
          </w:p>
          <w:p w:rsidR="00F1745D" w:rsidRPr="00DD59EA" w:rsidRDefault="00F1745D" w:rsidP="00CC450C">
            <w:pPr>
              <w:jc w:val="center"/>
              <w:rPr>
                <w:rFonts w:ascii="Palatino Linotype" w:hAnsi="Palatino Linotype" w:cs="Arial"/>
              </w:rPr>
            </w:pPr>
            <w:r w:rsidRPr="00DD59EA">
              <w:rPr>
                <w:rFonts w:ascii="Palatino Linotype" w:hAnsi="Palatino Linotype" w:cs="Arial"/>
              </w:rPr>
              <w:t>Comisionado</w:t>
            </w: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(RÚBRICA)</w:t>
            </w:r>
          </w:p>
        </w:tc>
      </w:tr>
      <w:tr w:rsidR="00F1745D" w:rsidRPr="00DD59EA" w:rsidTr="00CC450C">
        <w:trPr>
          <w:jc w:val="center"/>
        </w:trPr>
        <w:tc>
          <w:tcPr>
            <w:tcW w:w="5182" w:type="dxa"/>
          </w:tcPr>
          <w:p w:rsidR="00F1745D" w:rsidRPr="00DD59EA" w:rsidRDefault="00F1745D" w:rsidP="00CC450C">
            <w:pPr>
              <w:jc w:val="center"/>
              <w:rPr>
                <w:rFonts w:ascii="Palatino Linotype" w:hAnsi="Palatino Linotype" w:cs="Arial"/>
                <w:b/>
              </w:rPr>
            </w:pPr>
          </w:p>
          <w:p w:rsidR="003D7A48" w:rsidRPr="00DD59EA" w:rsidRDefault="003D7A48"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Javier Martínez Cruz</w:t>
            </w:r>
          </w:p>
          <w:p w:rsidR="00F1745D" w:rsidRPr="00DD59EA" w:rsidRDefault="00F1745D" w:rsidP="00CC450C">
            <w:pPr>
              <w:jc w:val="center"/>
              <w:rPr>
                <w:rFonts w:ascii="Palatino Linotype" w:hAnsi="Palatino Linotype" w:cs="Arial"/>
              </w:rPr>
            </w:pPr>
            <w:r w:rsidRPr="00DD59EA">
              <w:rPr>
                <w:rFonts w:ascii="Palatino Linotype" w:hAnsi="Palatino Linotype" w:cs="Arial"/>
              </w:rPr>
              <w:t>Comisionado</w:t>
            </w:r>
          </w:p>
          <w:p w:rsidR="00F1745D" w:rsidRPr="00DD59EA" w:rsidRDefault="00F1745D" w:rsidP="00CC450C">
            <w:pPr>
              <w:jc w:val="center"/>
              <w:rPr>
                <w:rFonts w:ascii="Palatino Linotype" w:hAnsi="Palatino Linotype" w:cs="Arial"/>
              </w:rPr>
            </w:pPr>
            <w:r w:rsidRPr="00DD59EA">
              <w:rPr>
                <w:rFonts w:ascii="Palatino Linotype" w:hAnsi="Palatino Linotype" w:cs="Arial"/>
                <w:b/>
              </w:rPr>
              <w:t>(RÚBRICA)</w:t>
            </w:r>
          </w:p>
        </w:tc>
        <w:tc>
          <w:tcPr>
            <w:tcW w:w="5183" w:type="dxa"/>
          </w:tcPr>
          <w:p w:rsidR="00CA1A70" w:rsidRPr="00DD59EA" w:rsidRDefault="00CA1A70" w:rsidP="00CC450C">
            <w:pPr>
              <w:jc w:val="center"/>
              <w:rPr>
                <w:rFonts w:ascii="Palatino Linotype" w:hAnsi="Palatino Linotype" w:cs="Arial"/>
                <w:b/>
              </w:rPr>
            </w:pPr>
          </w:p>
          <w:p w:rsidR="003D7A48" w:rsidRPr="00DD59EA" w:rsidRDefault="003D7A48"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Luis Gustavo Parra Noriega</w:t>
            </w:r>
          </w:p>
          <w:p w:rsidR="00F1745D" w:rsidRPr="00DD59EA" w:rsidRDefault="00F1745D" w:rsidP="00CC450C">
            <w:pPr>
              <w:jc w:val="center"/>
              <w:rPr>
                <w:rFonts w:ascii="Palatino Linotype" w:hAnsi="Palatino Linotype" w:cs="Arial"/>
              </w:rPr>
            </w:pPr>
            <w:r w:rsidRPr="00DD59EA">
              <w:rPr>
                <w:rFonts w:ascii="Palatino Linotype" w:hAnsi="Palatino Linotype" w:cs="Arial"/>
              </w:rPr>
              <w:t>Comisionado</w:t>
            </w: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(RÚBRICA)</w:t>
            </w:r>
          </w:p>
        </w:tc>
      </w:tr>
      <w:tr w:rsidR="00F1745D" w:rsidRPr="00DD59EA" w:rsidTr="00CC450C">
        <w:trPr>
          <w:jc w:val="center"/>
        </w:trPr>
        <w:tc>
          <w:tcPr>
            <w:tcW w:w="10365" w:type="dxa"/>
            <w:gridSpan w:val="2"/>
          </w:tcPr>
          <w:p w:rsidR="00F1745D" w:rsidRDefault="00F1745D"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Default="00E51543" w:rsidP="00CC450C">
            <w:pPr>
              <w:jc w:val="center"/>
              <w:rPr>
                <w:rFonts w:ascii="Palatino Linotype" w:hAnsi="Palatino Linotype" w:cs="Arial"/>
                <w:b/>
              </w:rPr>
            </w:pPr>
          </w:p>
          <w:p w:rsidR="00E51543" w:rsidRPr="00DD59EA" w:rsidRDefault="00E51543" w:rsidP="00CC450C">
            <w:pPr>
              <w:jc w:val="center"/>
              <w:rPr>
                <w:rFonts w:ascii="Palatino Linotype" w:hAnsi="Palatino Linotype" w:cs="Arial"/>
                <w:b/>
              </w:rPr>
            </w:pPr>
          </w:p>
          <w:p w:rsidR="00F1745D" w:rsidRPr="00DD59EA" w:rsidRDefault="00F1745D" w:rsidP="00CC450C">
            <w:pPr>
              <w:jc w:val="center"/>
              <w:rPr>
                <w:rFonts w:ascii="Palatino Linotype" w:hAnsi="Palatino Linotype" w:cs="Arial"/>
                <w:b/>
              </w:rPr>
            </w:pPr>
            <w:r w:rsidRPr="00DD59EA">
              <w:rPr>
                <w:rFonts w:ascii="Palatino Linotype" w:hAnsi="Palatino Linotype" w:cs="Arial"/>
                <w:b/>
              </w:rPr>
              <w:t>Alexis Tapia Ramírez</w:t>
            </w:r>
          </w:p>
          <w:p w:rsidR="00F1745D" w:rsidRPr="00DD59EA" w:rsidRDefault="00F1745D" w:rsidP="00CC450C">
            <w:pPr>
              <w:jc w:val="center"/>
              <w:rPr>
                <w:rFonts w:ascii="Palatino Linotype" w:hAnsi="Palatino Linotype" w:cs="Arial"/>
              </w:rPr>
            </w:pPr>
            <w:r w:rsidRPr="00DD59EA">
              <w:rPr>
                <w:rFonts w:ascii="Palatino Linotype" w:hAnsi="Palatino Linotype" w:cs="Arial"/>
              </w:rPr>
              <w:t>Secretario Técnico del Pleno</w:t>
            </w:r>
          </w:p>
          <w:p w:rsidR="00F1745D" w:rsidRPr="00DD59EA" w:rsidRDefault="00F1745D" w:rsidP="00CC450C">
            <w:pPr>
              <w:jc w:val="center"/>
              <w:rPr>
                <w:rFonts w:ascii="Palatino Linotype" w:hAnsi="Palatino Linotype" w:cs="Arial"/>
              </w:rPr>
            </w:pPr>
            <w:r w:rsidRPr="00DD59EA">
              <w:rPr>
                <w:rFonts w:ascii="Palatino Linotype" w:hAnsi="Palatino Linotype" w:cs="Arial"/>
                <w:b/>
              </w:rPr>
              <w:t>(RÚBRICA)</w:t>
            </w:r>
            <w:r w:rsidRPr="00DD59EA">
              <w:rPr>
                <w:rFonts w:ascii="Palatino Linotype" w:hAnsi="Palatino Linotype" w:cs="Arial"/>
              </w:rPr>
              <w:t xml:space="preserve"> </w:t>
            </w:r>
          </w:p>
        </w:tc>
      </w:tr>
    </w:tbl>
    <w:p w:rsidR="003D7A48" w:rsidRDefault="003D7A48"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Default="00E51543" w:rsidP="00F1745D">
      <w:pPr>
        <w:jc w:val="both"/>
        <w:rPr>
          <w:rFonts w:ascii="Palatino Linotype" w:hAnsi="Palatino Linotype" w:cs="Arial"/>
          <w:sz w:val="20"/>
        </w:rPr>
      </w:pPr>
    </w:p>
    <w:p w:rsidR="00E51543" w:rsidRPr="00DD59EA" w:rsidRDefault="00E51543" w:rsidP="00F1745D">
      <w:pPr>
        <w:jc w:val="both"/>
        <w:rPr>
          <w:rFonts w:ascii="Palatino Linotype" w:hAnsi="Palatino Linotype" w:cs="Arial"/>
          <w:sz w:val="20"/>
        </w:rPr>
      </w:pPr>
    </w:p>
    <w:p w:rsidR="00F1745D" w:rsidRPr="00DD59EA" w:rsidRDefault="00F1745D" w:rsidP="00F1745D">
      <w:pPr>
        <w:jc w:val="both"/>
        <w:rPr>
          <w:rFonts w:ascii="Palatino Linotype" w:hAnsi="Palatino Linotype" w:cs="Arial"/>
          <w:sz w:val="16"/>
          <w:szCs w:val="20"/>
          <w:lang w:val="es-ES_tradnl"/>
        </w:rPr>
      </w:pPr>
      <w:r w:rsidRPr="00DD59EA">
        <w:rPr>
          <w:rFonts w:ascii="Palatino Linotype" w:hAnsi="Palatino Linotype" w:cs="Arial"/>
          <w:sz w:val="20"/>
        </w:rPr>
        <w:t xml:space="preserve">Esta hoja corresponde a la resolución de </w:t>
      </w:r>
      <w:r w:rsidR="003D7A48" w:rsidRPr="00DD59EA">
        <w:rPr>
          <w:rFonts w:ascii="Palatino Linotype" w:hAnsi="Palatino Linotype" w:cs="Arial"/>
          <w:sz w:val="20"/>
        </w:rPr>
        <w:t>fecha veinticuatro</w:t>
      </w:r>
      <w:r w:rsidRPr="00DD59EA">
        <w:rPr>
          <w:rFonts w:ascii="Palatino Linotype" w:hAnsi="Palatino Linotype" w:cs="Arial"/>
          <w:sz w:val="20"/>
        </w:rPr>
        <w:t xml:space="preserve"> de abril de dos mil diecinueve, emitida en los recursos de revisión acumulados 00567/INFOEM/IP/RR/2019 y 00568/INFOEM/IP/RR/2019.</w:t>
      </w:r>
    </w:p>
    <w:p w:rsidR="001E6A09" w:rsidRPr="00F213DB" w:rsidRDefault="00F1745D" w:rsidP="00F1745D">
      <w:pPr>
        <w:pStyle w:val="Piedepgina"/>
        <w:rPr>
          <w:rFonts w:ascii="Palatino Linotype" w:eastAsia="Arial Unicode MS" w:hAnsi="Palatino Linotype" w:cs="Arial"/>
        </w:rPr>
      </w:pPr>
      <w:r w:rsidRPr="00DD59EA">
        <w:rPr>
          <w:rFonts w:ascii="Palatino Linotype" w:hAnsi="Palatino Linotype" w:cs="Arial"/>
          <w:sz w:val="20"/>
        </w:rPr>
        <w:t>ATU/AMV</w:t>
      </w:r>
    </w:p>
    <w:sectPr w:rsidR="001E6A09" w:rsidRPr="00F213DB" w:rsidSect="00CC450C">
      <w:headerReference w:type="default" r:id="rId38"/>
      <w:footerReference w:type="default" r:id="rId39"/>
      <w:headerReference w:type="first" r:id="rId40"/>
      <w:footerReference w:type="first" r:id="rId41"/>
      <w:pgSz w:w="12240" w:h="15840"/>
      <w:pgMar w:top="1418" w:right="1418" w:bottom="1418" w:left="1701" w:header="851" w:footer="111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398" w:rsidRDefault="00726398" w:rsidP="005E2458">
      <w:r>
        <w:separator/>
      </w:r>
    </w:p>
  </w:endnote>
  <w:endnote w:type="continuationSeparator" w:id="0">
    <w:p w:rsidR="00726398" w:rsidRDefault="00726398" w:rsidP="005E24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FDA" w:rsidRPr="00A54CF4" w:rsidRDefault="007E6FDA" w:rsidP="00CC450C">
    <w:pPr>
      <w:pStyle w:val="Piedepgina"/>
      <w:jc w:val="right"/>
      <w:rPr>
        <w:rFonts w:ascii="Palatino Linotype" w:hAnsi="Palatino Linotype" w:cs="Arial"/>
        <w:sz w:val="20"/>
        <w:szCs w:val="20"/>
      </w:rPr>
    </w:pPr>
    <w:r w:rsidRPr="00F12350">
      <w:rPr>
        <w:rFonts w:ascii="Palatino Linotype" w:hAnsi="Palatino Linotype" w:cs="Arial"/>
        <w:b/>
        <w:bCs/>
        <w:sz w:val="20"/>
        <w:szCs w:val="20"/>
      </w:rPr>
      <w:t xml:space="preserve">Página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PAGE</w:instrText>
    </w:r>
    <w:r w:rsidRPr="00F12350">
      <w:rPr>
        <w:rFonts w:ascii="Palatino Linotype" w:hAnsi="Palatino Linotype" w:cs="Arial"/>
        <w:b/>
        <w:bCs/>
        <w:sz w:val="20"/>
        <w:szCs w:val="20"/>
      </w:rPr>
      <w:fldChar w:fldCharType="separate"/>
    </w:r>
    <w:r w:rsidR="005C2CB9">
      <w:rPr>
        <w:rFonts w:ascii="Palatino Linotype" w:hAnsi="Palatino Linotype" w:cs="Arial"/>
        <w:b/>
        <w:bCs/>
        <w:noProof/>
        <w:sz w:val="20"/>
        <w:szCs w:val="20"/>
      </w:rPr>
      <w:t>20</w:t>
    </w:r>
    <w:r w:rsidRPr="00F12350">
      <w:rPr>
        <w:rFonts w:ascii="Palatino Linotype" w:hAnsi="Palatino Linotype" w:cs="Arial"/>
        <w:b/>
        <w:bCs/>
        <w:sz w:val="20"/>
        <w:szCs w:val="20"/>
      </w:rPr>
      <w:fldChar w:fldCharType="end"/>
    </w:r>
    <w:r w:rsidRPr="00F12350">
      <w:rPr>
        <w:rFonts w:ascii="Palatino Linotype" w:hAnsi="Palatino Linotype" w:cs="Arial"/>
        <w:sz w:val="20"/>
        <w:szCs w:val="20"/>
      </w:rPr>
      <w:t xml:space="preserve"> de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NUMPAGES</w:instrText>
    </w:r>
    <w:r w:rsidRPr="00F12350">
      <w:rPr>
        <w:rFonts w:ascii="Palatino Linotype" w:hAnsi="Palatino Linotype" w:cs="Arial"/>
        <w:b/>
        <w:bCs/>
        <w:sz w:val="20"/>
        <w:szCs w:val="20"/>
      </w:rPr>
      <w:fldChar w:fldCharType="separate"/>
    </w:r>
    <w:r w:rsidR="005C2CB9">
      <w:rPr>
        <w:rFonts w:ascii="Palatino Linotype" w:hAnsi="Palatino Linotype" w:cs="Arial"/>
        <w:b/>
        <w:bCs/>
        <w:noProof/>
        <w:sz w:val="20"/>
        <w:szCs w:val="20"/>
      </w:rPr>
      <w:t>73</w:t>
    </w:r>
    <w:r w:rsidRPr="00F12350">
      <w:rPr>
        <w:rFonts w:ascii="Palatino Linotype" w:hAnsi="Palatino Linotype" w:cs="Arial"/>
        <w:b/>
        <w:bCs/>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FDA" w:rsidRPr="00F12350" w:rsidRDefault="007E6FDA" w:rsidP="00CC450C">
    <w:pPr>
      <w:pStyle w:val="Piedepgina"/>
      <w:jc w:val="right"/>
      <w:rPr>
        <w:rFonts w:ascii="Palatino Linotype" w:hAnsi="Palatino Linotype" w:cs="Arial"/>
        <w:sz w:val="20"/>
        <w:szCs w:val="20"/>
      </w:rPr>
    </w:pPr>
    <w:r w:rsidRPr="00F12350">
      <w:rPr>
        <w:rFonts w:ascii="Palatino Linotype" w:hAnsi="Palatino Linotype" w:cs="Arial"/>
        <w:b/>
        <w:bCs/>
        <w:sz w:val="20"/>
        <w:szCs w:val="20"/>
      </w:rPr>
      <w:t xml:space="preserve">Página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PAGE</w:instrText>
    </w:r>
    <w:r w:rsidRPr="00F12350">
      <w:rPr>
        <w:rFonts w:ascii="Palatino Linotype" w:hAnsi="Palatino Linotype" w:cs="Arial"/>
        <w:b/>
        <w:bCs/>
        <w:sz w:val="20"/>
        <w:szCs w:val="20"/>
      </w:rPr>
      <w:fldChar w:fldCharType="separate"/>
    </w:r>
    <w:r w:rsidR="005C2CB9">
      <w:rPr>
        <w:rFonts w:ascii="Palatino Linotype" w:hAnsi="Palatino Linotype" w:cs="Arial"/>
        <w:b/>
        <w:bCs/>
        <w:noProof/>
        <w:sz w:val="20"/>
        <w:szCs w:val="20"/>
      </w:rPr>
      <w:t>1</w:t>
    </w:r>
    <w:r w:rsidRPr="00F12350">
      <w:rPr>
        <w:rFonts w:ascii="Palatino Linotype" w:hAnsi="Palatino Linotype" w:cs="Arial"/>
        <w:b/>
        <w:bCs/>
        <w:sz w:val="20"/>
        <w:szCs w:val="20"/>
      </w:rPr>
      <w:fldChar w:fldCharType="end"/>
    </w:r>
    <w:r w:rsidRPr="00F12350">
      <w:rPr>
        <w:rFonts w:ascii="Palatino Linotype" w:hAnsi="Palatino Linotype" w:cs="Arial"/>
        <w:sz w:val="20"/>
        <w:szCs w:val="20"/>
      </w:rPr>
      <w:t xml:space="preserve"> de </w:t>
    </w:r>
    <w:r w:rsidRPr="00F12350">
      <w:rPr>
        <w:rFonts w:ascii="Palatino Linotype" w:hAnsi="Palatino Linotype" w:cs="Arial"/>
        <w:b/>
        <w:bCs/>
        <w:sz w:val="20"/>
        <w:szCs w:val="20"/>
      </w:rPr>
      <w:fldChar w:fldCharType="begin"/>
    </w:r>
    <w:r w:rsidRPr="00F12350">
      <w:rPr>
        <w:rFonts w:ascii="Palatino Linotype" w:hAnsi="Palatino Linotype" w:cs="Arial"/>
        <w:b/>
        <w:bCs/>
        <w:sz w:val="20"/>
        <w:szCs w:val="20"/>
      </w:rPr>
      <w:instrText>NUMPAGES</w:instrText>
    </w:r>
    <w:r w:rsidRPr="00F12350">
      <w:rPr>
        <w:rFonts w:ascii="Palatino Linotype" w:hAnsi="Palatino Linotype" w:cs="Arial"/>
        <w:b/>
        <w:bCs/>
        <w:sz w:val="20"/>
        <w:szCs w:val="20"/>
      </w:rPr>
      <w:fldChar w:fldCharType="separate"/>
    </w:r>
    <w:r w:rsidR="005C2CB9">
      <w:rPr>
        <w:rFonts w:ascii="Palatino Linotype" w:hAnsi="Palatino Linotype" w:cs="Arial"/>
        <w:b/>
        <w:bCs/>
        <w:noProof/>
        <w:sz w:val="20"/>
        <w:szCs w:val="20"/>
      </w:rPr>
      <w:t>73</w:t>
    </w:r>
    <w:r w:rsidRPr="00F12350">
      <w:rPr>
        <w:rFonts w:ascii="Palatino Linotype" w:hAnsi="Palatino Linotype" w:cs="Arial"/>
        <w:b/>
        <w:bCs/>
        <w:sz w:val="20"/>
        <w:szCs w:val="20"/>
      </w:rPr>
      <w:fldChar w:fldCharType="end"/>
    </w:r>
  </w:p>
  <w:p w:rsidR="007E6FDA" w:rsidRDefault="007E6F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398" w:rsidRDefault="00726398" w:rsidP="005E2458">
      <w:r>
        <w:separator/>
      </w:r>
    </w:p>
  </w:footnote>
  <w:footnote w:type="continuationSeparator" w:id="0">
    <w:p w:rsidR="00726398" w:rsidRDefault="00726398" w:rsidP="005E2458">
      <w:r>
        <w:continuationSeparator/>
      </w:r>
    </w:p>
  </w:footnote>
  <w:footnote w:id="1">
    <w:p w:rsidR="007E6FDA" w:rsidRPr="009B7CA2" w:rsidRDefault="007E6FDA" w:rsidP="009B7CA2">
      <w:pPr>
        <w:pStyle w:val="Textonotapie"/>
        <w:jc w:val="both"/>
        <w:rPr>
          <w:rFonts w:ascii="Palatino Linotype" w:hAnsi="Palatino Linotype"/>
          <w:sz w:val="16"/>
          <w:szCs w:val="16"/>
        </w:rPr>
      </w:pPr>
      <w:r>
        <w:rPr>
          <w:rStyle w:val="Refdenotaalpie"/>
        </w:rPr>
        <w:footnoteRef/>
      </w:r>
      <w:r>
        <w:t xml:space="preserve"> </w:t>
      </w:r>
      <w:r w:rsidRPr="009B7CA2">
        <w:rPr>
          <w:rFonts w:ascii="Palatino Linotype" w:hAnsi="Palatino Linotype"/>
          <w:sz w:val="16"/>
          <w:szCs w:val="16"/>
        </w:rPr>
        <w:t xml:space="preserve">Supliendo la deficiencia en la solicitud de información de conformidad con los artículos 13 y 181, párrafo cuarto de la Ley de la materia, ya que la solicitante </w:t>
      </w:r>
      <w:r>
        <w:rPr>
          <w:rFonts w:ascii="Palatino Linotype" w:hAnsi="Palatino Linotype"/>
          <w:sz w:val="16"/>
          <w:szCs w:val="16"/>
        </w:rPr>
        <w:t xml:space="preserve">no es experta en la materia y desconoce el nombre o denominación del documento o documentos en los que pudiera advertirse la información solicitada y en cuanto a la temporalidad se determinó así, ya que </w:t>
      </w:r>
      <w:r w:rsidRPr="009B7CA2">
        <w:rPr>
          <w:rFonts w:ascii="Palatino Linotype" w:hAnsi="Palatino Linotype"/>
          <w:sz w:val="16"/>
          <w:szCs w:val="16"/>
        </w:rPr>
        <w:t>requirió la información “…</w:t>
      </w:r>
      <w:r w:rsidRPr="009B7CA2">
        <w:rPr>
          <w:rFonts w:ascii="Palatino Linotype" w:hAnsi="Palatino Linotype"/>
          <w:i/>
          <w:sz w:val="16"/>
          <w:szCs w:val="16"/>
        </w:rPr>
        <w:t>al día de hoy…” (Sic).</w:t>
      </w:r>
    </w:p>
  </w:footnote>
  <w:footnote w:id="2">
    <w:p w:rsidR="007E6FDA" w:rsidRPr="009B7CA2" w:rsidRDefault="007E6FDA" w:rsidP="008C0400">
      <w:pPr>
        <w:pStyle w:val="Textonotapie"/>
        <w:rPr>
          <w:rFonts w:ascii="Palatino Linotype" w:hAnsi="Palatino Linotype"/>
          <w:sz w:val="16"/>
          <w:szCs w:val="16"/>
        </w:rPr>
      </w:pPr>
      <w:r>
        <w:rPr>
          <w:rStyle w:val="Refdenotaalpie"/>
        </w:rPr>
        <w:footnoteRef/>
      </w:r>
      <w:r>
        <w:t xml:space="preserve"> </w:t>
      </w:r>
      <w:r w:rsidRPr="009B7CA2">
        <w:rPr>
          <w:rFonts w:ascii="Palatino Linotype" w:hAnsi="Palatino Linotype"/>
          <w:sz w:val="16"/>
          <w:szCs w:val="16"/>
        </w:rPr>
        <w:t>De igual manera se suple la temporalidad en la solicitud de información</w:t>
      </w:r>
      <w:r>
        <w:rPr>
          <w:rFonts w:ascii="Palatino Linotype" w:hAnsi="Palatino Linotype"/>
          <w:sz w:val="16"/>
          <w:szCs w:val="16"/>
        </w:rPr>
        <w:t>,</w:t>
      </w:r>
      <w:r w:rsidRPr="009B7CA2">
        <w:rPr>
          <w:rFonts w:ascii="Palatino Linotype" w:hAnsi="Palatino Linotype"/>
          <w:sz w:val="16"/>
          <w:szCs w:val="16"/>
        </w:rPr>
        <w:t xml:space="preserve"> y</w:t>
      </w:r>
      <w:r>
        <w:rPr>
          <w:rFonts w:ascii="Palatino Linotype" w:hAnsi="Palatino Linotype"/>
          <w:sz w:val="16"/>
          <w:szCs w:val="16"/>
        </w:rPr>
        <w:t xml:space="preserve">a que la solicito del año 2018; ello, </w:t>
      </w:r>
      <w:r w:rsidRPr="009B7CA2">
        <w:rPr>
          <w:rFonts w:ascii="Palatino Linotype" w:hAnsi="Palatino Linotype"/>
          <w:sz w:val="16"/>
          <w:szCs w:val="16"/>
        </w:rPr>
        <w:t>de conformidad con los artículos referidos en la cita anterior.</w:t>
      </w:r>
    </w:p>
  </w:footnote>
  <w:footnote w:id="3">
    <w:p w:rsidR="007E6FDA" w:rsidRPr="003851E6" w:rsidRDefault="007E6FDA" w:rsidP="003851E6">
      <w:pPr>
        <w:pStyle w:val="Textonotapie"/>
        <w:jc w:val="both"/>
        <w:rPr>
          <w:rFonts w:ascii="Palatino Linotype" w:hAnsi="Palatino Linotype"/>
          <w:sz w:val="16"/>
          <w:szCs w:val="16"/>
        </w:rPr>
      </w:pPr>
      <w:r>
        <w:rPr>
          <w:rStyle w:val="Refdenotaalpie"/>
        </w:rPr>
        <w:footnoteRef/>
      </w:r>
      <w:r>
        <w:t xml:space="preserve"> </w:t>
      </w:r>
      <w:r w:rsidRPr="003851E6">
        <w:rPr>
          <w:rFonts w:ascii="Palatino Linotype" w:hAnsi="Palatino Linotype"/>
          <w:sz w:val="16"/>
          <w:szCs w:val="16"/>
        </w:rPr>
        <w:t>ARTÍCULO 71. El sueldo es la retribución que la institución pública debe pagar al servidor público por los servicios prestados.</w:t>
      </w:r>
    </w:p>
  </w:footnote>
  <w:footnote w:id="4">
    <w:p w:rsidR="005A67A9" w:rsidRPr="005A67A9" w:rsidRDefault="005A67A9" w:rsidP="005A67A9">
      <w:pPr>
        <w:pStyle w:val="Textonotapie"/>
        <w:jc w:val="both"/>
        <w:rPr>
          <w:rFonts w:ascii="Palatino Linotype" w:hAnsi="Palatino Linotype"/>
          <w:sz w:val="16"/>
          <w:szCs w:val="16"/>
        </w:rPr>
      </w:pPr>
      <w:r>
        <w:rPr>
          <w:rStyle w:val="Refdenotaalpie"/>
        </w:rPr>
        <w:footnoteRef/>
      </w:r>
      <w:r>
        <w:t xml:space="preserve"> </w:t>
      </w:r>
      <w:r w:rsidRPr="005A67A9">
        <w:rPr>
          <w:rFonts w:ascii="Palatino Linotype" w:hAnsi="Palatino Linotype"/>
          <w:b/>
          <w:sz w:val="16"/>
          <w:szCs w:val="16"/>
        </w:rPr>
        <w:t>ARTÍCULO 106.</w:t>
      </w:r>
      <w:r w:rsidRPr="005A67A9">
        <w:rPr>
          <w:rFonts w:ascii="Palatino Linotype" w:hAnsi="Palatino Linotype"/>
          <w:sz w:val="16"/>
          <w:szCs w:val="16"/>
        </w:rPr>
        <w:t xml:space="preserve"> Se entiende por escalafón el sistema para efectuar las promociones de ascensos de los servidores públicos, conforme a lo señalado en esta ley y en las disposiciones reglamentarias correspondientes.</w:t>
      </w:r>
    </w:p>
  </w:footnote>
  <w:footnote w:id="5">
    <w:p w:rsidR="007E6FDA" w:rsidRPr="00AB43E3" w:rsidRDefault="007E6FDA" w:rsidP="00D04D14">
      <w:pPr>
        <w:pStyle w:val="Textonotapie"/>
        <w:rPr>
          <w:rFonts w:ascii="Palatino Linotype" w:hAnsi="Palatino Linotype"/>
          <w:i/>
          <w:sz w:val="18"/>
          <w:szCs w:val="18"/>
        </w:rPr>
      </w:pPr>
      <w:r w:rsidRPr="00AB43E3">
        <w:rPr>
          <w:rStyle w:val="Refdenotaalpie"/>
          <w:rFonts w:ascii="Palatino Linotype" w:hAnsi="Palatino Linotype"/>
          <w:i/>
          <w:sz w:val="18"/>
          <w:szCs w:val="18"/>
        </w:rPr>
        <w:footnoteRef/>
      </w:r>
      <w:r w:rsidRPr="00AB43E3">
        <w:rPr>
          <w:rFonts w:ascii="Palatino Linotype" w:hAnsi="Palatino Linotype"/>
          <w:i/>
          <w:sz w:val="18"/>
          <w:szCs w:val="18"/>
        </w:rPr>
        <w:t xml:space="preserve"> Crear un documento a modo que satisfaga los intereses de la solicitante.</w:t>
      </w:r>
    </w:p>
    <w:p w:rsidR="007E6FDA" w:rsidRPr="00AB43E3" w:rsidRDefault="007E6FDA" w:rsidP="00D04D14">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37" w:type="dxa"/>
      <w:tblInd w:w="2977" w:type="dxa"/>
      <w:tblLayout w:type="fixed"/>
      <w:tblLook w:val="04A0" w:firstRow="1" w:lastRow="0" w:firstColumn="1" w:lastColumn="0" w:noHBand="0" w:noVBand="1"/>
    </w:tblPr>
    <w:tblGrid>
      <w:gridCol w:w="2552"/>
      <w:gridCol w:w="3685"/>
    </w:tblGrid>
    <w:tr w:rsidR="007E6FDA" w:rsidRPr="008A510F" w:rsidTr="00CC450C">
      <w:tc>
        <w:tcPr>
          <w:tcW w:w="2552" w:type="dxa"/>
          <w:shd w:val="clear" w:color="auto" w:fill="auto"/>
          <w:vAlign w:val="center"/>
        </w:tcPr>
        <w:p w:rsidR="007E6FDA" w:rsidRPr="008A510F" w:rsidRDefault="007E6FDA" w:rsidP="00CC450C">
          <w:pPr>
            <w:rPr>
              <w:rFonts w:ascii="Palatino Linotype" w:hAnsi="Palatino Linotype"/>
              <w:b/>
              <w:sz w:val="22"/>
              <w:szCs w:val="22"/>
              <w:lang w:val="es-ES_tradnl"/>
            </w:rPr>
          </w:pPr>
          <w:r w:rsidRPr="008A510F">
            <w:rPr>
              <w:rFonts w:ascii="Palatino Linotype" w:hAnsi="Palatino Linotype"/>
              <w:b/>
              <w:sz w:val="22"/>
              <w:szCs w:val="22"/>
              <w:lang w:val="es-ES_tradnl"/>
            </w:rPr>
            <w:t>Recurso</w:t>
          </w:r>
          <w:r>
            <w:rPr>
              <w:rFonts w:ascii="Palatino Linotype" w:hAnsi="Palatino Linotype"/>
              <w:b/>
              <w:sz w:val="22"/>
              <w:szCs w:val="22"/>
              <w:lang w:val="es-ES_tradnl"/>
            </w:rPr>
            <w:t>s</w:t>
          </w:r>
          <w:r w:rsidRPr="008A510F">
            <w:rPr>
              <w:rFonts w:ascii="Palatino Linotype" w:hAnsi="Palatino Linotype"/>
              <w:b/>
              <w:sz w:val="22"/>
              <w:szCs w:val="22"/>
              <w:lang w:val="es-ES_tradnl"/>
            </w:rPr>
            <w:t xml:space="preserve"> de Revisión:</w:t>
          </w:r>
        </w:p>
      </w:tc>
      <w:tc>
        <w:tcPr>
          <w:tcW w:w="3685" w:type="dxa"/>
          <w:shd w:val="clear" w:color="auto" w:fill="auto"/>
          <w:vAlign w:val="center"/>
        </w:tcPr>
        <w:p w:rsidR="007E6FDA" w:rsidRPr="008A510F" w:rsidRDefault="007E6FDA" w:rsidP="00D075BC">
          <w:pPr>
            <w:ind w:right="176"/>
            <w:jc w:val="both"/>
            <w:rPr>
              <w:rFonts w:ascii="Palatino Linotype" w:hAnsi="Palatino Linotype"/>
              <w:b/>
              <w:sz w:val="22"/>
              <w:szCs w:val="22"/>
              <w:lang w:val="es-ES_tradnl"/>
            </w:rPr>
          </w:pPr>
          <w:r>
            <w:rPr>
              <w:rFonts w:ascii="Palatino Linotype" w:hAnsi="Palatino Linotype"/>
              <w:b/>
              <w:sz w:val="22"/>
              <w:szCs w:val="22"/>
              <w:lang w:val="es-ES_tradnl"/>
            </w:rPr>
            <w:t>00567/INFOEM/IP/RR/2019 y acumulado</w:t>
          </w:r>
        </w:p>
      </w:tc>
    </w:tr>
    <w:tr w:rsidR="007E6FDA" w:rsidRPr="008A510F" w:rsidTr="00CC450C">
      <w:trPr>
        <w:trHeight w:val="228"/>
      </w:trPr>
      <w:tc>
        <w:tcPr>
          <w:tcW w:w="2552" w:type="dxa"/>
          <w:shd w:val="clear" w:color="auto" w:fill="auto"/>
          <w:vAlign w:val="center"/>
        </w:tcPr>
        <w:p w:rsidR="007E6FDA" w:rsidRPr="008A510F" w:rsidRDefault="007E6FDA" w:rsidP="00CC450C">
          <w:pPr>
            <w:rPr>
              <w:rFonts w:ascii="Palatino Linotype" w:hAnsi="Palatino Linotype"/>
              <w:b/>
              <w:sz w:val="22"/>
              <w:szCs w:val="22"/>
              <w:lang w:val="es-ES_tradnl"/>
            </w:rPr>
          </w:pPr>
          <w:r w:rsidRPr="008A510F">
            <w:rPr>
              <w:rFonts w:ascii="Palatino Linotype" w:hAnsi="Palatino Linotype"/>
              <w:b/>
              <w:sz w:val="22"/>
              <w:szCs w:val="22"/>
              <w:lang w:val="es-ES_tradnl"/>
            </w:rPr>
            <w:t>Sujeto obligado:</w:t>
          </w:r>
        </w:p>
      </w:tc>
      <w:tc>
        <w:tcPr>
          <w:tcW w:w="3685" w:type="dxa"/>
          <w:shd w:val="clear" w:color="auto" w:fill="auto"/>
          <w:vAlign w:val="center"/>
        </w:tcPr>
        <w:p w:rsidR="007E6FDA" w:rsidRPr="008A510F" w:rsidRDefault="007E6FDA" w:rsidP="00CC450C">
          <w:pPr>
            <w:ind w:right="176"/>
            <w:jc w:val="both"/>
            <w:rPr>
              <w:rFonts w:ascii="Palatino Linotype" w:hAnsi="Palatino Linotype"/>
              <w:b/>
              <w:sz w:val="22"/>
              <w:szCs w:val="22"/>
              <w:lang w:val="es-ES_tradnl"/>
            </w:rPr>
          </w:pPr>
          <w:r>
            <w:rPr>
              <w:rFonts w:ascii="Palatino Linotype" w:hAnsi="Palatino Linotype"/>
              <w:b/>
              <w:sz w:val="22"/>
              <w:szCs w:val="22"/>
              <w:lang w:val="es-ES_tradnl"/>
            </w:rPr>
            <w:t>Universidad Politécnica del Valle de Toluca</w:t>
          </w:r>
        </w:p>
      </w:tc>
    </w:tr>
    <w:tr w:rsidR="007E6FDA" w:rsidRPr="008A510F" w:rsidTr="00CC450C">
      <w:tc>
        <w:tcPr>
          <w:tcW w:w="2552" w:type="dxa"/>
          <w:shd w:val="clear" w:color="auto" w:fill="auto"/>
          <w:vAlign w:val="center"/>
        </w:tcPr>
        <w:p w:rsidR="007E6FDA" w:rsidRPr="008A510F" w:rsidRDefault="007E6FDA" w:rsidP="00CC450C">
          <w:pPr>
            <w:rPr>
              <w:rFonts w:ascii="Palatino Linotype" w:hAnsi="Palatino Linotype"/>
              <w:b/>
              <w:sz w:val="22"/>
              <w:szCs w:val="22"/>
              <w:lang w:val="es-ES_tradnl"/>
            </w:rPr>
          </w:pPr>
          <w:r w:rsidRPr="008A510F">
            <w:rPr>
              <w:rFonts w:ascii="Palatino Linotype" w:hAnsi="Palatino Linotype"/>
              <w:b/>
              <w:sz w:val="22"/>
              <w:szCs w:val="22"/>
              <w:lang w:val="es-ES_tradnl"/>
            </w:rPr>
            <w:t>Comisionada ponente:</w:t>
          </w:r>
        </w:p>
      </w:tc>
      <w:tc>
        <w:tcPr>
          <w:tcW w:w="3685" w:type="dxa"/>
          <w:shd w:val="clear" w:color="auto" w:fill="auto"/>
          <w:vAlign w:val="center"/>
        </w:tcPr>
        <w:p w:rsidR="007E6FDA" w:rsidRPr="008A510F" w:rsidRDefault="007E6FDA" w:rsidP="00CC450C">
          <w:pPr>
            <w:ind w:right="176"/>
            <w:jc w:val="both"/>
            <w:rPr>
              <w:rFonts w:ascii="Palatino Linotype" w:hAnsi="Palatino Linotype"/>
              <w:b/>
              <w:sz w:val="22"/>
              <w:szCs w:val="22"/>
              <w:lang w:val="es-ES_tradnl"/>
            </w:rPr>
          </w:pPr>
          <w:r w:rsidRPr="008A510F">
            <w:rPr>
              <w:rFonts w:ascii="Palatino Linotype" w:hAnsi="Palatino Linotype"/>
              <w:b/>
              <w:sz w:val="22"/>
              <w:szCs w:val="22"/>
              <w:lang w:val="es-ES_tradnl"/>
            </w:rPr>
            <w:t>Eva Abaid Yapur</w:t>
          </w:r>
        </w:p>
      </w:tc>
    </w:tr>
  </w:tbl>
  <w:p w:rsidR="007E6FDA" w:rsidRDefault="007E6FDA" w:rsidP="00CC450C">
    <w:pPr>
      <w:pStyle w:val="Encabezado"/>
      <w:tabs>
        <w:tab w:val="clear" w:pos="4252"/>
        <w:tab w:val="clear" w:pos="8504"/>
        <w:tab w:val="left" w:pos="232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6237" w:type="dxa"/>
      <w:tblInd w:w="2835" w:type="dxa"/>
      <w:tblLayout w:type="fixed"/>
      <w:tblLook w:val="04A0" w:firstRow="1" w:lastRow="0" w:firstColumn="1" w:lastColumn="0" w:noHBand="0" w:noVBand="1"/>
    </w:tblPr>
    <w:tblGrid>
      <w:gridCol w:w="2977"/>
      <w:gridCol w:w="3260"/>
    </w:tblGrid>
    <w:tr w:rsidR="007E6FDA" w:rsidRPr="00C03E4D" w:rsidTr="00CC450C">
      <w:tc>
        <w:tcPr>
          <w:tcW w:w="2977" w:type="dxa"/>
          <w:shd w:val="clear" w:color="auto" w:fill="auto"/>
          <w:vAlign w:val="center"/>
        </w:tcPr>
        <w:p w:rsidR="007E6FDA" w:rsidRPr="00C03E4D" w:rsidRDefault="007E6FDA" w:rsidP="00CC450C">
          <w:pPr>
            <w:rPr>
              <w:rFonts w:ascii="Palatino Linotype" w:hAnsi="Palatino Linotype"/>
              <w:b/>
              <w:sz w:val="22"/>
              <w:szCs w:val="22"/>
              <w:lang w:val="es-ES_tradnl"/>
            </w:rPr>
          </w:pPr>
          <w:r w:rsidRPr="00C03E4D">
            <w:rPr>
              <w:rFonts w:ascii="Palatino Linotype" w:hAnsi="Palatino Linotype"/>
              <w:b/>
              <w:sz w:val="22"/>
              <w:szCs w:val="22"/>
              <w:lang w:val="es-ES_tradnl"/>
            </w:rPr>
            <w:t>Recurso</w:t>
          </w:r>
          <w:r>
            <w:rPr>
              <w:rFonts w:ascii="Palatino Linotype" w:hAnsi="Palatino Linotype"/>
              <w:b/>
              <w:sz w:val="22"/>
              <w:szCs w:val="22"/>
              <w:lang w:val="es-ES_tradnl"/>
            </w:rPr>
            <w:t>s</w:t>
          </w:r>
          <w:r w:rsidRPr="00C03E4D">
            <w:rPr>
              <w:rFonts w:ascii="Palatino Linotype" w:hAnsi="Palatino Linotype"/>
              <w:b/>
              <w:sz w:val="22"/>
              <w:szCs w:val="22"/>
              <w:lang w:val="es-ES_tradnl"/>
            </w:rPr>
            <w:t xml:space="preserve"> de Revisión:</w:t>
          </w:r>
        </w:p>
      </w:tc>
      <w:tc>
        <w:tcPr>
          <w:tcW w:w="3260" w:type="dxa"/>
          <w:shd w:val="clear" w:color="auto" w:fill="auto"/>
          <w:vAlign w:val="center"/>
        </w:tcPr>
        <w:p w:rsidR="007E6FDA" w:rsidRPr="00C03E4D" w:rsidRDefault="007E6FDA" w:rsidP="005E2458">
          <w:pPr>
            <w:jc w:val="both"/>
            <w:rPr>
              <w:rFonts w:ascii="Palatino Linotype" w:hAnsi="Palatino Linotype"/>
              <w:b/>
              <w:sz w:val="22"/>
              <w:szCs w:val="22"/>
              <w:lang w:val="es-ES_tradnl"/>
            </w:rPr>
          </w:pPr>
          <w:r>
            <w:rPr>
              <w:rFonts w:ascii="Palatino Linotype" w:hAnsi="Palatino Linotype"/>
              <w:b/>
              <w:sz w:val="22"/>
              <w:szCs w:val="22"/>
              <w:lang w:val="es-ES_tradnl"/>
            </w:rPr>
            <w:t>00567/INFOEM/IP/RR/2019 y 00568/INFOEM/IP/RR/2019 acumulados</w:t>
          </w:r>
        </w:p>
      </w:tc>
    </w:tr>
    <w:tr w:rsidR="007E6FDA" w:rsidRPr="00C03E4D" w:rsidTr="00CC450C">
      <w:tc>
        <w:tcPr>
          <w:tcW w:w="2977" w:type="dxa"/>
          <w:shd w:val="clear" w:color="auto" w:fill="auto"/>
          <w:vAlign w:val="center"/>
        </w:tcPr>
        <w:p w:rsidR="007E6FDA" w:rsidRPr="00C03E4D" w:rsidRDefault="007E6FDA" w:rsidP="00CC450C">
          <w:pPr>
            <w:rPr>
              <w:rFonts w:ascii="Palatino Linotype" w:hAnsi="Palatino Linotype"/>
              <w:b/>
              <w:sz w:val="22"/>
              <w:szCs w:val="22"/>
              <w:lang w:val="es-ES_tradnl"/>
            </w:rPr>
          </w:pPr>
          <w:r w:rsidRPr="00C03E4D">
            <w:rPr>
              <w:rFonts w:ascii="Palatino Linotype" w:hAnsi="Palatino Linotype"/>
              <w:b/>
              <w:sz w:val="22"/>
              <w:szCs w:val="22"/>
              <w:lang w:val="es-ES_tradnl"/>
            </w:rPr>
            <w:t>Recurrente:</w:t>
          </w:r>
        </w:p>
      </w:tc>
      <w:tc>
        <w:tcPr>
          <w:tcW w:w="3260" w:type="dxa"/>
          <w:shd w:val="clear" w:color="auto" w:fill="auto"/>
          <w:vAlign w:val="center"/>
        </w:tcPr>
        <w:p w:rsidR="007E6FDA" w:rsidRPr="00C03E4D" w:rsidRDefault="005C2CB9" w:rsidP="005C2CB9">
          <w:pPr>
            <w:ind w:right="-108"/>
            <w:jc w:val="both"/>
            <w:rPr>
              <w:rFonts w:ascii="Palatino Linotype" w:hAnsi="Palatino Linotype"/>
              <w:b/>
              <w:sz w:val="22"/>
              <w:szCs w:val="22"/>
              <w:lang w:val="es-ES_tradnl"/>
            </w:rPr>
          </w:pPr>
          <w:r>
            <w:rPr>
              <w:rFonts w:ascii="Palatino Linotype" w:hAnsi="Palatino Linotype"/>
              <w:b/>
              <w:sz w:val="22"/>
              <w:szCs w:val="22"/>
              <w:lang w:val="es-ES_tradnl"/>
            </w:rPr>
            <w:t xml:space="preserve">XXXXX XXXXXX </w:t>
          </w:r>
          <w:proofErr w:type="spellStart"/>
          <w:r>
            <w:rPr>
              <w:rFonts w:ascii="Palatino Linotype" w:hAnsi="Palatino Linotype"/>
              <w:b/>
              <w:sz w:val="22"/>
              <w:szCs w:val="22"/>
              <w:lang w:val="es-ES_tradnl"/>
            </w:rPr>
            <w:t>XXXXXX</w:t>
          </w:r>
          <w:proofErr w:type="spellEnd"/>
          <w:r>
            <w:rPr>
              <w:rFonts w:ascii="Palatino Linotype" w:hAnsi="Palatino Linotype"/>
              <w:b/>
              <w:sz w:val="22"/>
              <w:szCs w:val="22"/>
              <w:lang w:val="es-ES_tradnl"/>
            </w:rPr>
            <w:t xml:space="preserve"> XXXXXXX </w:t>
          </w:r>
          <w:r w:rsidR="007E6FDA">
            <w:rPr>
              <w:rFonts w:ascii="Palatino Linotype" w:hAnsi="Palatino Linotype"/>
              <w:b/>
              <w:sz w:val="22"/>
              <w:szCs w:val="22"/>
              <w:lang w:val="es-ES_tradnl"/>
            </w:rPr>
            <w:t xml:space="preserve"> </w:t>
          </w:r>
        </w:p>
      </w:tc>
    </w:tr>
    <w:tr w:rsidR="007E6FDA" w:rsidRPr="00C03E4D" w:rsidTr="00CC450C">
      <w:trPr>
        <w:trHeight w:val="228"/>
      </w:trPr>
      <w:tc>
        <w:tcPr>
          <w:tcW w:w="2977" w:type="dxa"/>
          <w:shd w:val="clear" w:color="auto" w:fill="auto"/>
          <w:vAlign w:val="center"/>
        </w:tcPr>
        <w:p w:rsidR="007E6FDA" w:rsidRPr="00C03E4D" w:rsidRDefault="007E6FDA" w:rsidP="00CC450C">
          <w:pPr>
            <w:rPr>
              <w:rFonts w:ascii="Palatino Linotype" w:hAnsi="Palatino Linotype"/>
              <w:b/>
              <w:sz w:val="22"/>
              <w:szCs w:val="22"/>
              <w:lang w:val="es-ES_tradnl"/>
            </w:rPr>
          </w:pPr>
          <w:r w:rsidRPr="00C03E4D">
            <w:rPr>
              <w:rFonts w:ascii="Palatino Linotype" w:hAnsi="Palatino Linotype"/>
              <w:b/>
              <w:sz w:val="22"/>
              <w:szCs w:val="22"/>
              <w:lang w:val="es-ES_tradnl"/>
            </w:rPr>
            <w:t>Sujeto obligado:</w:t>
          </w:r>
        </w:p>
      </w:tc>
      <w:tc>
        <w:tcPr>
          <w:tcW w:w="3260" w:type="dxa"/>
          <w:shd w:val="clear" w:color="auto" w:fill="auto"/>
          <w:vAlign w:val="center"/>
        </w:tcPr>
        <w:p w:rsidR="007E6FDA" w:rsidRPr="00C03E4D" w:rsidRDefault="007E6FDA" w:rsidP="00CC450C">
          <w:pPr>
            <w:jc w:val="both"/>
            <w:rPr>
              <w:rFonts w:ascii="Palatino Linotype" w:hAnsi="Palatino Linotype"/>
              <w:b/>
              <w:sz w:val="22"/>
              <w:szCs w:val="22"/>
              <w:lang w:val="es-ES_tradnl"/>
            </w:rPr>
          </w:pPr>
          <w:r>
            <w:rPr>
              <w:rFonts w:ascii="Palatino Linotype" w:hAnsi="Palatino Linotype"/>
              <w:b/>
              <w:sz w:val="22"/>
              <w:szCs w:val="22"/>
              <w:lang w:val="es-ES_tradnl"/>
            </w:rPr>
            <w:t>Universidad Politécnica del Valle de Toluca</w:t>
          </w:r>
        </w:p>
      </w:tc>
    </w:tr>
    <w:tr w:rsidR="007E6FDA" w:rsidRPr="00C03E4D" w:rsidTr="00CC450C">
      <w:tc>
        <w:tcPr>
          <w:tcW w:w="2977" w:type="dxa"/>
          <w:shd w:val="clear" w:color="auto" w:fill="auto"/>
          <w:vAlign w:val="center"/>
        </w:tcPr>
        <w:p w:rsidR="007E6FDA" w:rsidRPr="00C03E4D" w:rsidRDefault="007E6FDA" w:rsidP="00CC450C">
          <w:pPr>
            <w:ind w:left="318" w:hanging="318"/>
            <w:rPr>
              <w:rFonts w:ascii="Palatino Linotype" w:hAnsi="Palatino Linotype"/>
              <w:b/>
              <w:sz w:val="22"/>
              <w:szCs w:val="22"/>
              <w:lang w:val="es-ES_tradnl"/>
            </w:rPr>
          </w:pPr>
          <w:r w:rsidRPr="00C03E4D">
            <w:rPr>
              <w:rFonts w:ascii="Palatino Linotype" w:hAnsi="Palatino Linotype"/>
              <w:b/>
              <w:sz w:val="22"/>
              <w:szCs w:val="22"/>
              <w:lang w:val="es-ES_tradnl"/>
            </w:rPr>
            <w:t>Comisionada ponente:</w:t>
          </w:r>
        </w:p>
      </w:tc>
      <w:tc>
        <w:tcPr>
          <w:tcW w:w="3260" w:type="dxa"/>
          <w:shd w:val="clear" w:color="auto" w:fill="auto"/>
          <w:vAlign w:val="center"/>
        </w:tcPr>
        <w:p w:rsidR="007E6FDA" w:rsidRPr="00C03E4D" w:rsidRDefault="007E6FDA" w:rsidP="00CC450C">
          <w:pPr>
            <w:ind w:right="-533"/>
            <w:jc w:val="both"/>
            <w:rPr>
              <w:rFonts w:ascii="Palatino Linotype" w:hAnsi="Palatino Linotype"/>
              <w:b/>
              <w:sz w:val="22"/>
              <w:szCs w:val="22"/>
              <w:lang w:val="es-ES_tradnl"/>
            </w:rPr>
          </w:pPr>
          <w:r w:rsidRPr="00C03E4D">
            <w:rPr>
              <w:rFonts w:ascii="Palatino Linotype" w:hAnsi="Palatino Linotype"/>
              <w:b/>
              <w:sz w:val="22"/>
              <w:szCs w:val="22"/>
              <w:lang w:val="es-ES_tradnl"/>
            </w:rPr>
            <w:t>Eva Abaid Yapur</w:t>
          </w:r>
        </w:p>
      </w:tc>
    </w:tr>
  </w:tbl>
  <w:p w:rsidR="007E6FDA" w:rsidRPr="00C03E4D" w:rsidRDefault="007E6FDA">
    <w:pPr>
      <w:pStyle w:val="Encabezado"/>
      <w:rPr>
        <w:rFonts w:ascii="Palatino Linotype" w:hAnsi="Palatino Linotype"/>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C6F98"/>
    <w:multiLevelType w:val="hybridMultilevel"/>
    <w:tmpl w:val="B6B60698"/>
    <w:lvl w:ilvl="0" w:tplc="6736E898">
      <w:start w:val="1"/>
      <w:numFmt w:val="upperRoman"/>
      <w:lvlText w:val="%1."/>
      <w:lvlJc w:val="left"/>
      <w:pPr>
        <w:ind w:left="1571" w:hanging="72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
    <w:nsid w:val="18273F54"/>
    <w:multiLevelType w:val="hybridMultilevel"/>
    <w:tmpl w:val="8236EC3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nsid w:val="218C26D6"/>
    <w:multiLevelType w:val="hybridMultilevel"/>
    <w:tmpl w:val="BD62E6A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26843F31"/>
    <w:multiLevelType w:val="multilevel"/>
    <w:tmpl w:val="DD76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C655AA"/>
    <w:multiLevelType w:val="hybridMultilevel"/>
    <w:tmpl w:val="61FEAB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481C233B"/>
    <w:multiLevelType w:val="hybridMultilevel"/>
    <w:tmpl w:val="B44EAC46"/>
    <w:lvl w:ilvl="0" w:tplc="7B3294DA">
      <w:start w:val="1"/>
      <w:numFmt w:val="upperRoman"/>
      <w:lvlText w:val="%1."/>
      <w:lvlJc w:val="left"/>
      <w:pPr>
        <w:ind w:left="1420" w:hanging="780"/>
        <w:jc w:val="right"/>
      </w:pPr>
      <w:rPr>
        <w:rFonts w:hint="default"/>
        <w:w w:val="77"/>
      </w:rPr>
    </w:lvl>
    <w:lvl w:ilvl="1" w:tplc="DD8026E8">
      <w:numFmt w:val="bullet"/>
      <w:lvlText w:val="•"/>
      <w:lvlJc w:val="left"/>
      <w:pPr>
        <w:ind w:left="2382" w:hanging="780"/>
      </w:pPr>
      <w:rPr>
        <w:rFonts w:hint="default"/>
      </w:rPr>
    </w:lvl>
    <w:lvl w:ilvl="2" w:tplc="E136761E">
      <w:numFmt w:val="bullet"/>
      <w:lvlText w:val="•"/>
      <w:lvlJc w:val="left"/>
      <w:pPr>
        <w:ind w:left="3344" w:hanging="780"/>
      </w:pPr>
      <w:rPr>
        <w:rFonts w:hint="default"/>
      </w:rPr>
    </w:lvl>
    <w:lvl w:ilvl="3" w:tplc="DE76ED68">
      <w:numFmt w:val="bullet"/>
      <w:lvlText w:val="•"/>
      <w:lvlJc w:val="left"/>
      <w:pPr>
        <w:ind w:left="4306" w:hanging="780"/>
      </w:pPr>
      <w:rPr>
        <w:rFonts w:hint="default"/>
      </w:rPr>
    </w:lvl>
    <w:lvl w:ilvl="4" w:tplc="58B20832">
      <w:numFmt w:val="bullet"/>
      <w:lvlText w:val="•"/>
      <w:lvlJc w:val="left"/>
      <w:pPr>
        <w:ind w:left="5268" w:hanging="780"/>
      </w:pPr>
      <w:rPr>
        <w:rFonts w:hint="default"/>
      </w:rPr>
    </w:lvl>
    <w:lvl w:ilvl="5" w:tplc="BDC02706">
      <w:numFmt w:val="bullet"/>
      <w:lvlText w:val="•"/>
      <w:lvlJc w:val="left"/>
      <w:pPr>
        <w:ind w:left="6230" w:hanging="780"/>
      </w:pPr>
      <w:rPr>
        <w:rFonts w:hint="default"/>
      </w:rPr>
    </w:lvl>
    <w:lvl w:ilvl="6" w:tplc="5622D8C2">
      <w:numFmt w:val="bullet"/>
      <w:lvlText w:val="•"/>
      <w:lvlJc w:val="left"/>
      <w:pPr>
        <w:ind w:left="7192" w:hanging="780"/>
      </w:pPr>
      <w:rPr>
        <w:rFonts w:hint="default"/>
      </w:rPr>
    </w:lvl>
    <w:lvl w:ilvl="7" w:tplc="3F7AAB36">
      <w:numFmt w:val="bullet"/>
      <w:lvlText w:val="•"/>
      <w:lvlJc w:val="left"/>
      <w:pPr>
        <w:ind w:left="8154" w:hanging="780"/>
      </w:pPr>
      <w:rPr>
        <w:rFonts w:hint="default"/>
      </w:rPr>
    </w:lvl>
    <w:lvl w:ilvl="8" w:tplc="CB946BFC">
      <w:numFmt w:val="bullet"/>
      <w:lvlText w:val="•"/>
      <w:lvlJc w:val="left"/>
      <w:pPr>
        <w:ind w:left="9116" w:hanging="780"/>
      </w:pPr>
      <w:rPr>
        <w:rFonts w:hint="default"/>
      </w:rPr>
    </w:lvl>
  </w:abstractNum>
  <w:abstractNum w:abstractNumId="6">
    <w:nsid w:val="48A4055E"/>
    <w:multiLevelType w:val="multilevel"/>
    <w:tmpl w:val="1E587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3D33E9"/>
    <w:multiLevelType w:val="hybridMultilevel"/>
    <w:tmpl w:val="D8360ED6"/>
    <w:lvl w:ilvl="0" w:tplc="47F88042">
      <w:start w:val="1"/>
      <w:numFmt w:val="upperRoman"/>
      <w:lvlText w:val="%1."/>
      <w:lvlJc w:val="left"/>
      <w:pPr>
        <w:ind w:left="1429" w:hanging="72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8">
    <w:nsid w:val="4F4304EE"/>
    <w:multiLevelType w:val="hybridMultilevel"/>
    <w:tmpl w:val="B09A9E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79795EEB"/>
    <w:multiLevelType w:val="hybridMultilevel"/>
    <w:tmpl w:val="EAFC6354"/>
    <w:lvl w:ilvl="0" w:tplc="FAA8B6DC">
      <w:start w:val="1"/>
      <w:numFmt w:val="ordinalText"/>
      <w:lvlText w:val="%1."/>
      <w:lvlJc w:val="left"/>
      <w:pPr>
        <w:ind w:left="502" w:hanging="360"/>
      </w:pPr>
      <w:rPr>
        <w:rFonts w:hint="default"/>
        <w:b/>
        <w:caps/>
        <w:sz w:val="2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9"/>
  </w:num>
  <w:num w:numId="5">
    <w:abstractNumId w:val="1"/>
  </w:num>
  <w:num w:numId="6">
    <w:abstractNumId w:val="0"/>
  </w:num>
  <w:num w:numId="7">
    <w:abstractNumId w:val="5"/>
  </w:num>
  <w:num w:numId="8">
    <w:abstractNumId w:val="4"/>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58"/>
    <w:rsid w:val="0009192B"/>
    <w:rsid w:val="000A2DEF"/>
    <w:rsid w:val="000C7C9C"/>
    <w:rsid w:val="00123F5A"/>
    <w:rsid w:val="00155C62"/>
    <w:rsid w:val="001655B7"/>
    <w:rsid w:val="00173A9B"/>
    <w:rsid w:val="00187DBE"/>
    <w:rsid w:val="00190263"/>
    <w:rsid w:val="001E6A09"/>
    <w:rsid w:val="0020599D"/>
    <w:rsid w:val="0028442D"/>
    <w:rsid w:val="002A4CEC"/>
    <w:rsid w:val="0032452B"/>
    <w:rsid w:val="00340FD8"/>
    <w:rsid w:val="00355B3F"/>
    <w:rsid w:val="003820C7"/>
    <w:rsid w:val="003851E6"/>
    <w:rsid w:val="003D7A48"/>
    <w:rsid w:val="00453FF1"/>
    <w:rsid w:val="00460CD7"/>
    <w:rsid w:val="00472C04"/>
    <w:rsid w:val="00477541"/>
    <w:rsid w:val="004950B8"/>
    <w:rsid w:val="004A463E"/>
    <w:rsid w:val="005011E1"/>
    <w:rsid w:val="00531708"/>
    <w:rsid w:val="005529FA"/>
    <w:rsid w:val="005A67A9"/>
    <w:rsid w:val="005A69F1"/>
    <w:rsid w:val="005C2CB9"/>
    <w:rsid w:val="005D1DCA"/>
    <w:rsid w:val="005E2458"/>
    <w:rsid w:val="005E6026"/>
    <w:rsid w:val="0062493A"/>
    <w:rsid w:val="00647827"/>
    <w:rsid w:val="006570BD"/>
    <w:rsid w:val="00690949"/>
    <w:rsid w:val="006C03CE"/>
    <w:rsid w:val="0070085B"/>
    <w:rsid w:val="00722407"/>
    <w:rsid w:val="00726398"/>
    <w:rsid w:val="0074129E"/>
    <w:rsid w:val="007463AC"/>
    <w:rsid w:val="00760D41"/>
    <w:rsid w:val="007E6FDA"/>
    <w:rsid w:val="00805B6D"/>
    <w:rsid w:val="00806F25"/>
    <w:rsid w:val="0081131F"/>
    <w:rsid w:val="00814DCF"/>
    <w:rsid w:val="0086006A"/>
    <w:rsid w:val="00872FBE"/>
    <w:rsid w:val="008C0400"/>
    <w:rsid w:val="008D1696"/>
    <w:rsid w:val="008E7597"/>
    <w:rsid w:val="00902517"/>
    <w:rsid w:val="00912BDD"/>
    <w:rsid w:val="00932FB2"/>
    <w:rsid w:val="00964BF3"/>
    <w:rsid w:val="009753F7"/>
    <w:rsid w:val="009B7CA2"/>
    <w:rsid w:val="009E39C9"/>
    <w:rsid w:val="009E4C6B"/>
    <w:rsid w:val="00A53C2B"/>
    <w:rsid w:val="00A60E75"/>
    <w:rsid w:val="00A73A1A"/>
    <w:rsid w:val="00A96413"/>
    <w:rsid w:val="00AC0425"/>
    <w:rsid w:val="00BB4185"/>
    <w:rsid w:val="00C23B43"/>
    <w:rsid w:val="00C9714C"/>
    <w:rsid w:val="00CA1A70"/>
    <w:rsid w:val="00CC4448"/>
    <w:rsid w:val="00CC450C"/>
    <w:rsid w:val="00CE0FB2"/>
    <w:rsid w:val="00D04D14"/>
    <w:rsid w:val="00D075BC"/>
    <w:rsid w:val="00D42913"/>
    <w:rsid w:val="00D43322"/>
    <w:rsid w:val="00D9005B"/>
    <w:rsid w:val="00DA099C"/>
    <w:rsid w:val="00DA47BB"/>
    <w:rsid w:val="00DB5356"/>
    <w:rsid w:val="00DD59EA"/>
    <w:rsid w:val="00E51543"/>
    <w:rsid w:val="00E639F5"/>
    <w:rsid w:val="00E65421"/>
    <w:rsid w:val="00E75914"/>
    <w:rsid w:val="00EC6404"/>
    <w:rsid w:val="00ED0945"/>
    <w:rsid w:val="00F11D35"/>
    <w:rsid w:val="00F14548"/>
    <w:rsid w:val="00F1745D"/>
    <w:rsid w:val="00F32C49"/>
    <w:rsid w:val="00F771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7568E2-82C2-49A4-81E1-06428B956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45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2458"/>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5E2458"/>
    <w:rPr>
      <w:rFonts w:eastAsiaTheme="minorEastAsia"/>
      <w:sz w:val="24"/>
      <w:szCs w:val="24"/>
      <w:lang w:val="es-ES_tradnl" w:eastAsia="es-ES"/>
    </w:rPr>
  </w:style>
  <w:style w:type="paragraph" w:styleId="Piedepgina">
    <w:name w:val="footer"/>
    <w:basedOn w:val="Normal"/>
    <w:link w:val="PiedepginaCar"/>
    <w:uiPriority w:val="99"/>
    <w:unhideWhenUsed/>
    <w:rsid w:val="005E2458"/>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5E2458"/>
    <w:rPr>
      <w:rFonts w:eastAsiaTheme="minorEastAsia"/>
      <w:sz w:val="24"/>
      <w:szCs w:val="24"/>
      <w:lang w:val="es-ES_tradnl"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5E2458"/>
    <w:pPr>
      <w:ind w:left="720"/>
      <w:contextualSpacing/>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5E2458"/>
    <w:rPr>
      <w:rFonts w:ascii="Times New Roman" w:eastAsia="Times New Roman" w:hAnsi="Times New Roman" w:cs="Times New Roman"/>
      <w:sz w:val="24"/>
      <w:szCs w:val="24"/>
      <w:lang w:eastAsia="es-ES"/>
    </w:rPr>
  </w:style>
  <w:style w:type="paragraph" w:styleId="Sinespaciado">
    <w:name w:val="No Spacing"/>
    <w:aliases w:val="Francesa"/>
    <w:link w:val="SinespaciadoCar"/>
    <w:uiPriority w:val="1"/>
    <w:qFormat/>
    <w:rsid w:val="005E2458"/>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Francesa Car"/>
    <w:link w:val="Sinespaciado"/>
    <w:uiPriority w:val="1"/>
    <w:locked/>
    <w:rsid w:val="005E2458"/>
    <w:rPr>
      <w:rFonts w:ascii="Times New Roman" w:eastAsia="Times New Roman" w:hAnsi="Times New Roman" w:cs="Times New Roman"/>
      <w:sz w:val="24"/>
      <w:szCs w:val="24"/>
      <w:lang w:eastAsia="es-ES"/>
    </w:rPr>
  </w:style>
  <w:style w:type="character" w:customStyle="1" w:styleId="apple-style-span">
    <w:name w:val="apple-style-span"/>
    <w:rsid w:val="005E2458"/>
  </w:style>
  <w:style w:type="character" w:styleId="Hipervnculo">
    <w:name w:val="Hyperlink"/>
    <w:basedOn w:val="Fuentedeprrafopredeter"/>
    <w:uiPriority w:val="99"/>
    <w:semiHidden/>
    <w:unhideWhenUsed/>
    <w:rsid w:val="005E2458"/>
    <w:rPr>
      <w:color w:val="0000FF"/>
      <w:u w:val="single"/>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5E2458"/>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5E2458"/>
    <w:rPr>
      <w:rFonts w:ascii="Times New Roman" w:eastAsia="Times New Roman" w:hAnsi="Times New Roman" w:cs="Times New Roman"/>
      <w:sz w:val="20"/>
      <w:szCs w:val="20"/>
      <w:lang w:eastAsia="es-E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rsid w:val="005E2458"/>
    <w:rPr>
      <w:vertAlign w:val="superscript"/>
    </w:rPr>
  </w:style>
  <w:style w:type="paragraph" w:styleId="Textoindependiente">
    <w:name w:val="Body Text"/>
    <w:basedOn w:val="Normal"/>
    <w:link w:val="TextoindependienteCar"/>
    <w:uiPriority w:val="1"/>
    <w:qFormat/>
    <w:rsid w:val="005E2458"/>
    <w:pPr>
      <w:widowControl w:val="0"/>
      <w:autoSpaceDE w:val="0"/>
      <w:autoSpaceDN w:val="0"/>
      <w:ind w:hanging="780"/>
      <w:jc w:val="both"/>
    </w:pPr>
    <w:rPr>
      <w:rFonts w:ascii="Trebuchet MS" w:eastAsia="Trebuchet MS" w:hAnsi="Trebuchet MS" w:cs="Trebuchet MS"/>
      <w:lang w:val="en-US" w:eastAsia="en-US"/>
    </w:rPr>
  </w:style>
  <w:style w:type="character" w:customStyle="1" w:styleId="TextoindependienteCar">
    <w:name w:val="Texto independiente Car"/>
    <w:basedOn w:val="Fuentedeprrafopredeter"/>
    <w:link w:val="Textoindependiente"/>
    <w:uiPriority w:val="1"/>
    <w:rsid w:val="005E2458"/>
    <w:rPr>
      <w:rFonts w:ascii="Trebuchet MS" w:eastAsia="Trebuchet MS" w:hAnsi="Trebuchet MS" w:cs="Trebuchet MS"/>
      <w:sz w:val="24"/>
      <w:szCs w:val="24"/>
      <w:lang w:val="en-US"/>
    </w:rPr>
  </w:style>
  <w:style w:type="paragraph" w:styleId="Textodeglobo">
    <w:name w:val="Balloon Text"/>
    <w:basedOn w:val="Normal"/>
    <w:link w:val="TextodegloboCar"/>
    <w:uiPriority w:val="99"/>
    <w:semiHidden/>
    <w:unhideWhenUsed/>
    <w:rsid w:val="005E245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2458"/>
    <w:rPr>
      <w:rFonts w:ascii="Segoe UI" w:eastAsia="Times New Roman" w:hAnsi="Segoe UI" w:cs="Segoe UI"/>
      <w:sz w:val="18"/>
      <w:szCs w:val="18"/>
      <w:lang w:eastAsia="es-ES"/>
    </w:rPr>
  </w:style>
  <w:style w:type="character" w:customStyle="1" w:styleId="apple-converted-space">
    <w:name w:val="apple-converted-space"/>
    <w:basedOn w:val="Fuentedeprrafopredeter"/>
    <w:rsid w:val="00805B6D"/>
  </w:style>
  <w:style w:type="paragraph" w:styleId="Textoindependiente2">
    <w:name w:val="Body Text 2"/>
    <w:basedOn w:val="Normal"/>
    <w:link w:val="Textoindependiente2Car"/>
    <w:uiPriority w:val="99"/>
    <w:unhideWhenUsed/>
    <w:rsid w:val="00964BF3"/>
    <w:pPr>
      <w:spacing w:after="120" w:line="480" w:lineRule="auto"/>
    </w:pPr>
    <w:rPr>
      <w:lang w:val="es-ES"/>
    </w:rPr>
  </w:style>
  <w:style w:type="character" w:customStyle="1" w:styleId="Textoindependiente2Car">
    <w:name w:val="Texto independiente 2 Car"/>
    <w:basedOn w:val="Fuentedeprrafopredeter"/>
    <w:link w:val="Textoindependiente2"/>
    <w:uiPriority w:val="99"/>
    <w:rsid w:val="00964BF3"/>
    <w:rPr>
      <w:rFonts w:ascii="Times New Roman" w:eastAsia="Times New Roman" w:hAnsi="Times New Roman" w:cs="Times New Roman"/>
      <w:sz w:val="24"/>
      <w:szCs w:val="24"/>
      <w:lang w:val="es-ES" w:eastAsia="es-ES"/>
    </w:rPr>
  </w:style>
  <w:style w:type="character" w:customStyle="1" w:styleId="f">
    <w:name w:val="f"/>
    <w:basedOn w:val="Fuentedeprrafopredeter"/>
    <w:rsid w:val="00D42913"/>
  </w:style>
  <w:style w:type="character" w:customStyle="1" w:styleId="d">
    <w:name w:val="d"/>
    <w:basedOn w:val="Fuentedeprrafopredeter"/>
    <w:rsid w:val="00D42913"/>
  </w:style>
  <w:style w:type="character" w:customStyle="1" w:styleId="b">
    <w:name w:val="b"/>
    <w:basedOn w:val="Fuentedeprrafopredeter"/>
    <w:rsid w:val="00D42913"/>
  </w:style>
  <w:style w:type="character" w:customStyle="1" w:styleId="k">
    <w:name w:val="k"/>
    <w:basedOn w:val="Fuentedeprrafopredeter"/>
    <w:rsid w:val="00D42913"/>
  </w:style>
  <w:style w:type="character" w:customStyle="1" w:styleId="h">
    <w:name w:val="h"/>
    <w:basedOn w:val="Fuentedeprrafopredeter"/>
    <w:rsid w:val="00D42913"/>
  </w:style>
  <w:style w:type="character" w:customStyle="1" w:styleId="nacep">
    <w:name w:val="n_acep"/>
    <w:basedOn w:val="Fuentedeprrafopredeter"/>
    <w:rsid w:val="00D42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le.rae.es/?id=PwDYZFz"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CC3F2-46DC-4857-95FE-78DA55D9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73</Pages>
  <Words>14826</Words>
  <Characters>81549</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cp:lastPrinted>2019-04-05T21:14:00Z</cp:lastPrinted>
  <dcterms:created xsi:type="dcterms:W3CDTF">2019-03-08T19:16:00Z</dcterms:created>
  <dcterms:modified xsi:type="dcterms:W3CDTF">2019-05-21T18:17:00Z</dcterms:modified>
</cp:coreProperties>
</file>